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CPIS adv. Marketplace Operations, Inc.</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08557E" w:rsidP="00FD77B5">
      <w:pPr>
        <w:spacing w:afterLines="0" w:after="0"/>
        <w:jc w:val="center"/>
        <w:rPr>
          <w:rFonts w:cs="Times New Roman"/>
          <w:sz w:val="28"/>
          <w:szCs w:val="28"/>
        </w:rPr>
      </w:pPr>
      <w:r>
        <w:rPr>
          <w:rFonts w:cs="Times New Roman"/>
          <w:color w:val="000099"/>
          <w:sz w:val="28"/>
          <w:szCs w:val="28"/>
        </w:rPr>
        <w:t>24STCV30249</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Copyright Infringement</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CPIS and Marketplace Operations entered into a mutually beneficial contract in which a white-labelled version of CPIS’ pet insurance and routine wellness services would be passively provided to the visitors and customers of Marketplace Operations. In exchange for this broadened market reach and new client introductions, Marketplace Operations would generate income by being paid a fee for each customer introduction. The Agreement enumerating this contract was entered into on or around December 15, 2020.  Marketplace Operations filed a Complaint on November 15, 2024, alleging a single cause of action for Breach of Contract and claiming at least $2.5M in damages for payment owed by CPIS per the Agreement. However, the Agreement included clauses which protected the intellectual property of CPIS which Marketplace Operations infringed upon/breached, thus rendering any remaining duty of CPIS toward Marketplace Operations under the contract reduced or void. Once CPIS finalizes its copyright filing, a Cross-Complaint can be initiated for, at the very least, breach of contract, fraud, and copyright infringement.</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Compare Pet Insurance Services, Inc.</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Marketplace Operations, Inc. ("Marketplace")</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Plaintiff</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Client’s IP Attorneys filed for Copyright protection for Client’s website design, and we need to know the status of that filing as well as the scope of protection provided by that filing.</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Ask Client if there are any pertinent documents, records, or communications with Defendant regarding The Agreement that we do not have.</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Ask IP attorneys for a record of the copyright filing.</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51A562B1"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r w:rsidR="003F54B5">
        <w:rPr>
          <w:rFonts w:cs="Times New Roman"/>
          <w:bCs/>
          <w:szCs w:val="24"/>
        </w:rPr>
        <w:t>non-</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3" w:name="_Toc53565507"/>
      <w:bookmarkStart w:id="84" w:name="_Toc130368736"/>
      <w:r w:rsidRPr="00020852">
        <w:fldChar w:fldCharType="end"/>
      </w:r>
      <w:r>
        <w:br/>
        <w:t>Conversion</w:t>
      </w:r>
      <w:bookmarkEnd w:id="83"/>
      <w:bookmarkEnd w:id="84"/>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lastRenderedPageBreak/>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5" w:name="_Toc53565508"/>
      <w:bookmarkStart w:id="86" w:name="_Toc130368737"/>
      <w:r w:rsidRPr="00020852">
        <w:fldChar w:fldCharType="end"/>
      </w:r>
      <w:r>
        <w:br/>
      </w:r>
      <w:r w:rsidRPr="0099097C">
        <w:t>Trespass to Chattels</w:t>
      </w:r>
      <w:bookmarkEnd w:id="85"/>
      <w:bookmarkEnd w:id="86"/>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lastRenderedPageBreak/>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E3A28CC" w14:textId="77777777" w:rsidR="00555084" w:rsidRPr="00D010AC" w:rsidRDefault="00555084" w:rsidP="00555084">
      <w:pPr>
        <w:pStyle w:val="Heading2"/>
        <w:rPr>
          <w:lang w:val="fr-FR"/>
        </w:rPr>
      </w:pPr>
      <w:r w:rsidRPr="00020852">
        <w:lastRenderedPageBreak/>
        <w:fldChar w:fldCharType="begin"/>
      </w:r>
      <w:r w:rsidRPr="00D010AC">
        <w:rPr>
          <w:lang w:val="fr-FR"/>
        </w:rPr>
        <w:instrText xml:space="preserve"> LISTNUM LegalDefault \l 2 </w:instrText>
      </w:r>
      <w:bookmarkStart w:id="95" w:name="_Toc53565513"/>
      <w:bookmarkStart w:id="96" w:name="_Toc130368742"/>
      <w:r w:rsidRPr="00020852">
        <w:fldChar w:fldCharType="end"/>
      </w:r>
      <w:r w:rsidRPr="00D010AC">
        <w:rPr>
          <w:lang w:val="fr-FR"/>
        </w:rPr>
        <w:br/>
      </w:r>
      <w:proofErr w:type="spellStart"/>
      <w:r w:rsidRPr="00D010AC">
        <w:rPr>
          <w:lang w:val="fr-FR"/>
        </w:rPr>
        <w:t>Unjust</w:t>
      </w:r>
      <w:proofErr w:type="spellEnd"/>
      <w:r w:rsidRPr="00D010AC">
        <w:rPr>
          <w:lang w:val="fr-FR"/>
        </w:rPr>
        <w:t xml:space="preserve"> </w:t>
      </w:r>
      <w:proofErr w:type="spellStart"/>
      <w:r w:rsidRPr="00D010AC">
        <w:rPr>
          <w:lang w:val="fr-FR"/>
        </w:rPr>
        <w:t>Enrichment</w:t>
      </w:r>
      <w:bookmarkEnd w:id="95"/>
      <w:bookmarkEnd w:id="96"/>
      <w:proofErr w:type="spellEnd"/>
    </w:p>
    <w:p w14:paraId="783BF9F1" w14:textId="77777777" w:rsidR="00555084" w:rsidRPr="00D010AC" w:rsidRDefault="00555084" w:rsidP="00555084">
      <w:pPr>
        <w:spacing w:after="264"/>
        <w:rPr>
          <w:lang w:val="fr-FR"/>
        </w:rPr>
      </w:pPr>
      <w:proofErr w:type="spellStart"/>
      <w:r w:rsidRPr="00D010AC">
        <w:rPr>
          <w:u w:val="single"/>
          <w:lang w:val="fr-FR"/>
        </w:rPr>
        <w:t>Elements</w:t>
      </w:r>
      <w:proofErr w:type="spellEnd"/>
      <w:r w:rsidRPr="00D010AC">
        <w:rPr>
          <w:lang w:val="fr-FR"/>
        </w:rPr>
        <w:t>—</w:t>
      </w:r>
      <w:proofErr w:type="spellStart"/>
      <w:r w:rsidRPr="00D010AC">
        <w:rPr>
          <w:lang w:val="fr-FR"/>
        </w:rPr>
        <w:t>Unjust</w:t>
      </w:r>
      <w:proofErr w:type="spellEnd"/>
      <w:r w:rsidRPr="00D010AC">
        <w:rPr>
          <w:lang w:val="fr-FR"/>
        </w:rPr>
        <w:t xml:space="preserve"> </w:t>
      </w:r>
      <w:proofErr w:type="spellStart"/>
      <w:r w:rsidRPr="00D010AC">
        <w:rPr>
          <w:lang w:val="fr-FR"/>
        </w:rPr>
        <w:t>Enrichment</w:t>
      </w:r>
      <w:proofErr w:type="spellEnd"/>
      <w:r w:rsidRPr="00D010AC">
        <w:rPr>
          <w:lang w:val="fr-FR"/>
        </w:rPr>
        <w:t xml:space="preserve"> (Quantum </w:t>
      </w:r>
      <w:proofErr w:type="spellStart"/>
      <w:r w:rsidRPr="00D010AC">
        <w:rPr>
          <w:lang w:val="fr-FR"/>
        </w:rPr>
        <w:t>Meruit</w:t>
      </w:r>
      <w:proofErr w:type="spellEnd"/>
      <w:r w:rsidRPr="00D010AC">
        <w:rPr>
          <w:lang w:val="fr-FR"/>
        </w:rPr>
        <w: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7" w:name="_Toc53565518"/>
      <w:bookmarkStart w:id="108"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7"/>
      <w:bookmarkEnd w:id="108"/>
    </w:p>
    <w:p w14:paraId="282BE646" w14:textId="77777777" w:rsidR="0079009E" w:rsidRDefault="0079009E" w:rsidP="0079009E">
      <w:pPr>
        <w:spacing w:after="264"/>
      </w:pPr>
      <w:bookmarkStart w:id="10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a private party’s standing to bring such a claim—a private party was required to (i) establish a loss or deprivation of money or property sufficient to qualify as injury in fact (i.e., an economic injury), and </w:t>
      </w:r>
      <w:r>
        <w:lastRenderedPageBreak/>
        <w:t>(ii)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41" w:name="_Toc130368760"/>
      <w:r w:rsidRPr="004647C7">
        <w:fldChar w:fldCharType="end"/>
      </w:r>
      <w:r w:rsidR="000B75CA">
        <w:br/>
      </w:r>
      <w:r>
        <w:t>Copyright Infringement</w:t>
      </w:r>
      <w:bookmarkEnd w:id="14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Copyright Infringement</w:t>
      </w:r>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copyright infringement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3" w:name="_Toc130368762"/>
      <w:r w:rsidRPr="00D536E3">
        <w:fldChar w:fldCharType="end"/>
      </w:r>
      <w:r w:rsidR="000B75CA">
        <w:br/>
      </w:r>
      <w:r w:rsidR="00DD2768" w:rsidRPr="00A66858">
        <w:t>POTENTIAL AFFIRMATIVE DEFENSES</w:t>
      </w:r>
      <w:bookmarkEnd w:id="143"/>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7" w:name="_Toc130368765"/>
      <w:r w:rsidRPr="00274E8F">
        <w:fldChar w:fldCharType="end"/>
      </w:r>
      <w:r w:rsidR="009B5213">
        <w:br/>
      </w:r>
      <w:r>
        <w:t>Equitable Estoppel</w:t>
      </w:r>
      <w:bookmarkEnd w:id="14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8" w:name="_Toc130368766"/>
      <w:r w:rsidRPr="00274E8F">
        <w:fldChar w:fldCharType="end"/>
      </w:r>
      <w:r w:rsidR="009B5213">
        <w:br/>
      </w:r>
      <w:r>
        <w:t>Unclean Hands</w:t>
      </w:r>
      <w:bookmarkEnd w:id="14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9" w:name="_Toc130368767"/>
      <w:r w:rsidRPr="00274E8F">
        <w:fldChar w:fldCharType="end"/>
      </w:r>
      <w:r w:rsidR="009B5213">
        <w:br/>
      </w:r>
      <w:r>
        <w:t>Laches</w:t>
      </w:r>
      <w:bookmarkEnd w:id="14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5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5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51" w:name="_Toc130368768"/>
      <w:r w:rsidRPr="00274E8F">
        <w:fldChar w:fldCharType="end"/>
      </w:r>
      <w:r w:rsidR="009B5213">
        <w:br/>
      </w:r>
      <w:r>
        <w:t>Negligence (Comparative Fault)</w:t>
      </w:r>
      <w:bookmarkEnd w:id="15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52" w:name="_Toc130368769"/>
      <w:r w:rsidRPr="00274E8F">
        <w:fldChar w:fldCharType="end"/>
      </w:r>
      <w:r w:rsidR="009B5213">
        <w:br/>
      </w:r>
      <w:r>
        <w:t>Apportionment</w:t>
      </w:r>
      <w:bookmarkEnd w:id="15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7" w:name="_Toc130368774"/>
      <w:r w:rsidRPr="00274E8F">
        <w:fldChar w:fldCharType="end"/>
      </w:r>
      <w:r w:rsidR="009B5213">
        <w:br/>
      </w:r>
      <w:r>
        <w:t>Contract (Fraud)</w:t>
      </w:r>
      <w:bookmarkEnd w:id="15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2" w:name="_Toc130368788"/>
      <w:r w:rsidRPr="00274E8F">
        <w:fldChar w:fldCharType="end"/>
      </w:r>
      <w:r w:rsidR="009B5213">
        <w:br/>
      </w:r>
      <w:r>
        <w:t>Waiver</w:t>
      </w:r>
      <w:bookmarkEnd w:id="17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3" w:name="_Toc130368789"/>
      <w:r w:rsidRPr="00274E8F">
        <w:fldChar w:fldCharType="end"/>
      </w:r>
      <w:r w:rsidR="002970B7">
        <w:br/>
      </w:r>
      <w:r>
        <w:t>Failure to Mitigate</w:t>
      </w:r>
      <w:bookmarkEnd w:id="17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
      </w:r>
      <w:r>
        <w:t>.</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bookmarkStart w:id="219"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CPIS adv. Marketplace Operations, Inc.</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