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Lavi v. 1862 Bel-Agio, Inc.</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JR</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
          Clients are owners of a condominium located at 1862 S. Bentley Ave., Unit 301, Los Angeles, CA 90025 (the "Property"), which is part of a nine-unit association, 1862 Bel-Agio, Inc. (the "HOA"). For more than three years, Clients have endured escalating water intrusion into their home, and have been displaced since October 2025 pursuant to physician’s orders due to the discovery of unit-wide mold contamination.
          <w:br/>
          <w:br/>
          Clients had prior counsel, which served an ADR demand in May 2025, but mediation has yet to take place. At this point, Clients would like to move forward with litigation.
          <w:br/>
          <w:br/>
          POTENTIAL VALID CLAIMS
          <w:br/>
          <w:br/>
          STRENGTHS/WEAKNESSES OF THOSE CLAIMS
        </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08557E" w:rsidP="00246DB4">
            <w:pPr>
              <w:spacing w:afterLines="0" w:after="0"/>
              <w:rPr>
                <w:rFonts w:ascii="Times New Roman" w:hAnsi="Times New Roman" w:cs="Times New Roman"/>
                <w:sz w:val="20"/>
                <w:szCs w:val="20"/>
              </w:rPr>
            </w:pPr>
            <w:r>
              <w:rPr>
                <w:rFonts w:cs="Times New Roman"/>
                <w:sz w:val="20"/>
                <w:szCs w:val="20"/>
              </w:rPr>
              <w:t>Sharon Lavi</w:t>
            </w:r>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Matthew Friedberg</w:t>
            </w:r>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Client</w:t>
            </w:r>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Thomas ("T.J.") Price</w:t>
            </w:r>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08557E" w:rsidP="009855CA">
            <w:pPr>
              <w:spacing w:afterLines="0" w:after="0"/>
              <w:rPr>
                <w:rFonts w:ascii="Times New Roman" w:hAnsi="Times New Roman" w:cs="Times New Roman"/>
                <w:sz w:val="20"/>
                <w:szCs w:val="20"/>
              </w:rPr>
            </w:pPr>
            <w:r>
              <w:rPr>
                <w:rFonts w:cs="Times New Roman"/>
                <w:sz w:val="20"/>
                <w:szCs w:val="20"/>
              </w:rPr>
              <w:t>HOA Board President</w:t>
            </w:r>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74DF6B43" w14:textId="77777777" w:rsidR="00DB1417" w:rsidRDefault="00DB1417" w:rsidP="00DB1417">
      <w:pPr>
        <w:pStyle w:val="NormalEnd"/>
      </w:pPr>
      <w:r>
        <w:t xml:space="preserve">At this time, the Firm does not need Client to provide any additional information or clarification. This section of the LADD may, however, be amended from time to time as new information/questions arise. </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2D798276" w14:textId="3BDD580E" w:rsidR="00B61AFD" w:rsidRPr="00020852" w:rsidRDefault="00985BCA" w:rsidP="0086219A">
      <w:pPr>
        <w:pStyle w:val="NormalEnd"/>
      </w:pPr>
      <w:r>
        <w:t>At this time, the Firm does not need Client to provide any additional documents.</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7020BE47"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F32C066" w14:textId="190BE478" w:rsidR="001257C8" w:rsidRPr="001257C8" w:rsidRDefault="001257C8" w:rsidP="001257C8">
      <w:pPr>
        <w:pStyle w:val="Line"/>
      </w:pPr>
      <w:r w:rsidRPr="001257C8">
        <w:t>________________________________</w:t>
      </w:r>
    </w:p>
    <w:p w14:paraId="7FD85073" w14:textId="34BD0ED0" w:rsidR="0020072A" w:rsidRPr="00D45EA6" w:rsidRDefault="0020072A" w:rsidP="00D45EA6">
      <w:pPr>
        <w:pStyle w:val="Heading1"/>
        <w:spacing w:after="264"/>
      </w:pPr>
      <w:r w:rsidRPr="00D45EA6">
        <w:rPr>
          <w:rStyle w:val="Heading1Char"/>
          <w:b/>
        </w:rPr>
        <w:lastRenderedPageBreak/>
        <w:fldChar w:fldCharType="begin"/>
      </w:r>
      <w:r w:rsidR="00EA2883" w:rsidRPr="00D45EA6">
        <w:rPr>
          <w:rStyle w:val="Heading1Char"/>
          <w:b/>
        </w:rPr>
        <w:instrText xml:space="preserve"> LISTNUM LegalDefault \l 1 </w:instrText>
      </w:r>
      <w:bookmarkStart w:id="14" w:name="_Toc130368700"/>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2C4F9C" w:rsidRDefault="008134BD" w:rsidP="0020072A">
      <w:pPr>
        <w:spacing w:after="264"/>
        <w:rPr>
          <w:rFonts w:cs="Times New Roman"/>
          <w:szCs w:val="24"/>
        </w:rPr>
      </w:pPr>
      <w:r w:rsidRPr="002C4F9C">
        <w:rPr>
          <w:rFonts w:cs="Times New Roman"/>
          <w:szCs w:val="24"/>
        </w:rPr>
        <w:t>If</w:t>
      </w:r>
      <w:r w:rsidR="0020072A" w:rsidRPr="002C4F9C">
        <w:rPr>
          <w:rFonts w:cs="Times New Roman"/>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May not be cited, or even </w:t>
      </w:r>
      <w:r w:rsidRPr="002C4F9C">
        <w:rPr>
          <w:rFonts w:cs="Times New Roman"/>
          <w:i/>
          <w:iCs/>
          <w:szCs w:val="24"/>
        </w:rPr>
        <w:t>referenced</w:t>
      </w:r>
      <w:r w:rsidRPr="002C4F9C">
        <w:rPr>
          <w:rFonts w:cs="Times New Roman"/>
          <w:szCs w:val="24"/>
        </w:rPr>
        <w:t xml:space="preserve">, at all during the pre-litigation or litigation phases of the cases. </w:t>
      </w:r>
    </w:p>
    <w:p w14:paraId="709AF4E9" w14:textId="77777777" w:rsidR="0020072A" w:rsidRPr="002C4F9C" w:rsidRDefault="0020072A" w:rsidP="0020072A">
      <w:pPr>
        <w:spacing w:after="264"/>
        <w:ind w:left="720"/>
        <w:rPr>
          <w:rFonts w:cs="Times New Roman"/>
          <w:b/>
          <w:bCs/>
          <w:szCs w:val="24"/>
        </w:rPr>
      </w:pPr>
      <w:r w:rsidRPr="002C4F9C">
        <w:rPr>
          <w:rFonts w:cs="Times New Roman"/>
          <w:szCs w:val="24"/>
        </w:rPr>
        <w:t>—  Must be stored in a separate folder in “Client Docs” called “</w:t>
      </w:r>
      <w:r w:rsidRPr="002C4F9C">
        <w:rPr>
          <w:rFonts w:cs="Times New Roman"/>
          <w:szCs w:val="24"/>
          <w:u w:val="single"/>
        </w:rPr>
        <w:t>HOA Privileged Docs.</w:t>
      </w:r>
      <w:r w:rsidRPr="002C4F9C">
        <w:rPr>
          <w:rFonts w:cs="Times New Roman"/>
          <w:szCs w:val="24"/>
        </w:rPr>
        <w:t>”</w:t>
      </w:r>
    </w:p>
    <w:p w14:paraId="72923E6C" w14:textId="77777777" w:rsidR="0020072A" w:rsidRPr="00020852" w:rsidRDefault="0020072A" w:rsidP="0020072A">
      <w:pPr>
        <w:spacing w:after="264"/>
        <w:rPr>
          <w:rFonts w:cs="Times New Roman"/>
          <w:szCs w:val="24"/>
        </w:rPr>
      </w:pPr>
      <w:r w:rsidRPr="002C4F9C">
        <w:rPr>
          <w:rFonts w:cs="Times New Roman"/>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5" w:name="_Toc130368701"/>
      <w:r w:rsidRPr="00EA2883">
        <w:fldChar w:fldCharType="end"/>
      </w:r>
      <w:r w:rsidR="00317286">
        <w:br/>
      </w:r>
      <w:r w:rsidRPr="00C75C1D">
        <w:t>Can Client Waive the Privilege?</w:t>
      </w:r>
      <w:bookmarkEnd w:id="15"/>
    </w:p>
    <w:p w14:paraId="1C9042CB" w14:textId="77777777" w:rsidR="0020072A" w:rsidRPr="002C4F9C" w:rsidRDefault="0020072A" w:rsidP="0020072A">
      <w:pPr>
        <w:spacing w:after="264"/>
        <w:ind w:left="1080" w:hanging="360"/>
        <w:rPr>
          <w:rFonts w:cs="Times New Roman"/>
          <w:szCs w:val="24"/>
        </w:rPr>
      </w:pPr>
      <w:r w:rsidRPr="002C4F9C">
        <w:rPr>
          <w:rFonts w:cs="Times New Roman"/>
          <w:szCs w:val="24"/>
        </w:rPr>
        <w:t>—  Where the client is a corporation, it alone (through its officers and directors) is the holder of the privilege and it alone may waive the privilege. (</w:t>
      </w:r>
      <w:r w:rsidRPr="002C4F9C">
        <w:rPr>
          <w:rFonts w:cs="Times New Roman"/>
          <w:i/>
          <w:iCs/>
          <w:szCs w:val="24"/>
        </w:rPr>
        <w:t>Titmas v. Sup.Ct. (Iavarone)</w:t>
      </w:r>
      <w:r w:rsidRPr="002C4F9C">
        <w:rPr>
          <w:rFonts w:cs="Times New Roman"/>
          <w:szCs w:val="24"/>
        </w:rPr>
        <w:t xml:space="preserve"> (2001) 87 Cal.App.4th 738, fn. 1.) </w:t>
      </w:r>
    </w:p>
    <w:p w14:paraId="0D37A74B" w14:textId="77777777" w:rsidR="0020072A" w:rsidRPr="002C4F9C" w:rsidRDefault="0020072A" w:rsidP="0020072A">
      <w:pPr>
        <w:spacing w:after="264"/>
        <w:ind w:left="1080" w:hanging="360"/>
        <w:rPr>
          <w:rFonts w:cs="Times New Roman"/>
          <w:szCs w:val="24"/>
        </w:rPr>
      </w:pPr>
      <w:r w:rsidRPr="002C4F9C">
        <w:rPr>
          <w:rFonts w:cs="Times New Roman"/>
          <w:szCs w:val="24"/>
        </w:rPr>
        <w:t>—  The authority to waive the attorney-client privilege rests with the corporation’s officers and directors. When control of the corporation passes to new people, so too does the authority to assert or waive the privilege. (</w:t>
      </w:r>
      <w:r w:rsidRPr="002C4F9C">
        <w:rPr>
          <w:rFonts w:cs="Times New Roman"/>
          <w:i/>
          <w:iCs/>
          <w:szCs w:val="24"/>
        </w:rPr>
        <w:t xml:space="preserve">Commodity Futures Trading </w:t>
      </w:r>
      <w:proofErr w:type="spellStart"/>
      <w:r w:rsidRPr="002C4F9C">
        <w:rPr>
          <w:rFonts w:cs="Times New Roman"/>
          <w:i/>
          <w:iCs/>
          <w:szCs w:val="24"/>
        </w:rPr>
        <w:t>Com’n</w:t>
      </w:r>
      <w:proofErr w:type="spellEnd"/>
      <w:r w:rsidRPr="002C4F9C">
        <w:rPr>
          <w:rFonts w:cs="Times New Roman"/>
          <w:i/>
          <w:iCs/>
          <w:szCs w:val="24"/>
        </w:rPr>
        <w:t xml:space="preserve"> v. Weintraub</w:t>
      </w:r>
      <w:r w:rsidRPr="002C4F9C">
        <w:rPr>
          <w:rFonts w:cs="Times New Roman"/>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2C4F9C">
        <w:rPr>
          <w:rFonts w:cs="Times New Roman"/>
          <w:i/>
          <w:iCs/>
          <w:szCs w:val="24"/>
        </w:rPr>
        <w:t>Id. at</w:t>
      </w:r>
      <w:r w:rsidRPr="002C4F9C">
        <w:rPr>
          <w:rFonts w:cs="Times New Roman"/>
          <w:szCs w:val="24"/>
        </w:rPr>
        <w:t xml:space="preserve"> 349.) A former director has no power to assert or waive the corporation’s privilege, and a former officer cannot assert the protection if the corporation as waived it. (</w:t>
      </w:r>
      <w:r w:rsidRPr="002C4F9C">
        <w:rPr>
          <w:rFonts w:cs="Times New Roman"/>
          <w:i/>
          <w:szCs w:val="24"/>
        </w:rPr>
        <w:t>Ibid</w:t>
      </w:r>
      <w:r w:rsidRPr="002C4F9C">
        <w:rPr>
          <w:rFonts w:cs="Times New Roman"/>
          <w:szCs w:val="24"/>
        </w:rPr>
        <w:t>.)</w:t>
      </w:r>
    </w:p>
    <w:p w14:paraId="13F8B188" w14:textId="77777777" w:rsidR="0020072A" w:rsidRPr="00020852" w:rsidRDefault="0020072A" w:rsidP="0020072A">
      <w:pPr>
        <w:spacing w:after="264"/>
        <w:ind w:left="1080" w:hanging="360"/>
        <w:rPr>
          <w:rFonts w:cs="Times New Roman"/>
          <w:szCs w:val="24"/>
        </w:rPr>
      </w:pPr>
      <w:r w:rsidRPr="002C4F9C">
        <w:rPr>
          <w:rFonts w:cs="Times New Roman"/>
          <w:szCs w:val="24"/>
        </w:rPr>
        <w:t>—  The HOA may waive the privilege, but in cases where two or more people are joint holders of a privilege, the waiver of that privilege by one does NOT affect the rights of the other(s) to claim the privilege. (</w:t>
      </w:r>
      <w:r w:rsidRPr="002C4F9C">
        <w:rPr>
          <w:rFonts w:cs="Times New Roman"/>
          <w:i/>
          <w:iCs/>
          <w:szCs w:val="24"/>
        </w:rPr>
        <w:t xml:space="preserve">American Mut. </w:t>
      </w:r>
      <w:proofErr w:type="spellStart"/>
      <w:r w:rsidRPr="002C4F9C">
        <w:rPr>
          <w:rFonts w:cs="Times New Roman"/>
          <w:i/>
          <w:iCs/>
          <w:szCs w:val="24"/>
        </w:rPr>
        <w:t>Liab</w:t>
      </w:r>
      <w:proofErr w:type="spellEnd"/>
      <w:r w:rsidRPr="002C4F9C">
        <w:rPr>
          <w:rFonts w:cs="Times New Roman"/>
          <w:i/>
          <w:iCs/>
          <w:szCs w:val="24"/>
        </w:rPr>
        <w:t>. Ins. Co v. Superior Court</w:t>
      </w:r>
      <w:r w:rsidRPr="002C4F9C">
        <w:rPr>
          <w:rFonts w:cs="Times New Roman"/>
          <w:szCs w:val="24"/>
        </w:rPr>
        <w:t xml:space="preserve"> (1974) 38 Cal.App.3d 579; Ev.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130368702"/>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CRPC 4.4 requires attorneys to return privileged documents that were “inadvertently sent or produced.” CRPC 4.4, however, does </w:t>
      </w:r>
      <w:r w:rsidRPr="002C4F9C">
        <w:rPr>
          <w:rFonts w:cs="Times New Roman"/>
          <w:i/>
          <w:iCs/>
          <w:szCs w:val="24"/>
        </w:rPr>
        <w:t>not</w:t>
      </w:r>
      <w:r w:rsidRPr="002C4F9C">
        <w:rPr>
          <w:rFonts w:cs="Times New Roman"/>
          <w:szCs w:val="24"/>
        </w:rPr>
        <w:t xml:space="preserve"> seem to apply. Not only did Client intentionally produce </w:t>
      </w:r>
      <w:r w:rsidRPr="002C4F9C">
        <w:rPr>
          <w:rFonts w:cs="Times New Roman"/>
          <w:szCs w:val="24"/>
        </w:rPr>
        <w:lastRenderedPageBreak/>
        <w:t xml:space="preserve">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2C4F9C">
        <w:rPr>
          <w:rFonts w:cs="Times New Roman"/>
          <w:i/>
          <w:iCs/>
          <w:szCs w:val="24"/>
        </w:rPr>
        <w:t>Clark v. Superior Court</w:t>
      </w:r>
      <w:r w:rsidRPr="002C4F9C">
        <w:rPr>
          <w:rFonts w:cs="Times New Roman"/>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t>
      </w:r>
      <w:r w:rsidRPr="002C4F9C">
        <w:rPr>
          <w:rFonts w:cs="Times New Roman"/>
          <w:i/>
          <w:iCs/>
          <w:szCs w:val="24"/>
        </w:rPr>
        <w:t xml:space="preserve">Keep in mind that in Clark, the court disqualified the attorney in question </w:t>
      </w:r>
      <w:r w:rsidRPr="002C4F9C">
        <w:rPr>
          <w:rFonts w:cs="Times New Roman"/>
          <w:szCs w:val="24"/>
        </w:rPr>
        <w:t>(who represented an employee of a company) for excessively reviewing the employer’s (i.e., the opposing side’s) privileged materials,</w:t>
      </w:r>
      <w:r w:rsidRPr="002C4F9C">
        <w:rPr>
          <w:rFonts w:cs="Times New Roman"/>
          <w:i/>
          <w:iCs/>
          <w:szCs w:val="24"/>
        </w:rPr>
        <w:t xml:space="preserve"> despite the fact that (a) the employee intentionally transmitted the documents to the attorney, and (b) the employee had a right to receive the privileged materials during the course of his employment</w:t>
      </w:r>
      <w:r w:rsidRPr="002C4F9C">
        <w:rPr>
          <w:rFonts w:cs="Times New Roman"/>
          <w:szCs w:val="24"/>
        </w:rPr>
        <w:t>. This is precisely the scenario that we’re facing.</w:t>
      </w:r>
    </w:p>
    <w:p w14:paraId="45C61A0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While there are some distinguishing facts in </w:t>
      </w:r>
      <w:r w:rsidRPr="002C4F9C">
        <w:rPr>
          <w:rFonts w:cs="Times New Roman"/>
          <w:i/>
          <w:iCs/>
          <w:szCs w:val="24"/>
        </w:rPr>
        <w:t>Clark</w:t>
      </w:r>
      <w:r w:rsidRPr="002C4F9C">
        <w:rPr>
          <w:rFonts w:cs="Times New Roman"/>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2C4F9C">
        <w:rPr>
          <w:rFonts w:cs="Times New Roman"/>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130368703"/>
      <w:r w:rsidRPr="00020852">
        <w:fldChar w:fldCharType="end"/>
      </w:r>
      <w:r w:rsidR="00317286">
        <w:br/>
      </w:r>
      <w:r w:rsidRPr="00020852">
        <w:t>Does Providing Privileged Documents to the Firm Constitute a Fiduciary Breach by Client?</w:t>
      </w:r>
      <w:bookmarkEnd w:id="17"/>
    </w:p>
    <w:p w14:paraId="53ADE35C" w14:textId="5827D80B" w:rsidR="0020072A" w:rsidRDefault="0020072A" w:rsidP="001447D7">
      <w:pPr>
        <w:pStyle w:val="NormalEnd"/>
        <w:ind w:left="1080" w:hanging="360"/>
      </w:pPr>
      <w:r w:rsidRPr="002C4F9C">
        <w:t xml:space="preserve">—  The Firm is in the process of completing research on this issue, but it </w:t>
      </w:r>
      <w:r w:rsidRPr="002C4F9C">
        <w:rPr>
          <w:i/>
          <w:iCs/>
        </w:rPr>
        <w:t>appears</w:t>
      </w:r>
      <w:r w:rsidRPr="002C4F9C">
        <w:t xml:space="preserve"> that the answer is yes—former board members cannot make unauthorized disclosures of privileged materials.</w:t>
      </w:r>
    </w:p>
    <w:p w14:paraId="4508DEC0" w14:textId="00563782" w:rsidR="00050D2B" w:rsidRPr="00050D2B" w:rsidRDefault="00050D2B" w:rsidP="00050D2B">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13036870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5949213" w14:textId="77777777" w:rsidR="00745226" w:rsidRDefault="009762AF" w:rsidP="009762AF">
      <w:pPr>
        <w:spacing w:after="264"/>
        <w:ind w:left="1080" w:hanging="360"/>
        <w:rPr>
          <w:rStyle w:val="property1"/>
          <w:rFonts w:eastAsia="Times New Roman" w:cs="Times New Roman"/>
        </w:rPr>
      </w:pPr>
      <w:bookmarkStart w:id="34" w:name="_Hlk41131756"/>
      <w:r w:rsidRPr="00020852">
        <w:rPr>
          <w:rFonts w:cs="Times New Roman"/>
          <w:bCs/>
          <w:szCs w:val="24"/>
        </w:rPr>
        <w:lastRenderedPageBreak/>
        <w:t>—  The “failure to maintain” issue discussed in the context of the “Breach of CC&amp;Rs” cause of action above is also applicable in the context of a negligence claim.</w:t>
      </w:r>
      <w:bookmarkEnd w:id="34"/>
      <w:r w:rsidRPr="00020852">
        <w:rPr>
          <w:rFonts w:cs="Times New Roman"/>
          <w:szCs w:val="24"/>
        </w:rPr>
        <w:t xml:space="preserve">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1EE9E79C" w14:textId="444ED4B2"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w:t>
      </w:r>
      <w:r>
        <w:rPr>
          <w:rFonts w:cs="Times New Roman"/>
          <w:bCs/>
          <w:szCs w:val="24"/>
        </w:rPr>
        <w:t xml:space="preserve">and “Negligence”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4E1ED793" w14:textId="65740FE9"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w:t>
      </w:r>
      <w:r w:rsidR="00BC2936">
        <w:rPr>
          <w:rFonts w:cs="Times New Roman"/>
          <w:bCs/>
          <w:szCs w:val="24"/>
        </w:rPr>
        <w:t xml:space="preserve">,” “Negligence,” and “Breach of Fiduciary Duty” </w:t>
      </w:r>
      <w:r w:rsidRPr="00020852">
        <w:rPr>
          <w:rFonts w:cs="Times New Roman"/>
          <w:bCs/>
          <w:szCs w:val="24"/>
        </w:rPr>
        <w:t>causes of action above is also applicable in the context of a nuisance claim.</w:t>
      </w:r>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r>
        <w:rPr>
          <w:rFonts w:cs="Times New Roman"/>
          <w:bCs/>
          <w:szCs w:val="24"/>
        </w:rPr>
        <w:t>Article 3, Section 3</w:t>
      </w:r>
      <w:r w:rsidRPr="007E2199">
        <w:rPr>
          <w:rFonts w:cs="Times New Roman"/>
          <w:bCs/>
          <w:szCs w:val="24"/>
        </w:rPr>
        <w:t xml:space="preserve"> of the CC&amp;Rs specifically states that a violation of the CC&amp;Rs gives rise to a separate nuisance claim.</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9" w:name="_Toc130368717"/>
      <w:r w:rsidRPr="00020852">
        <w:fldChar w:fldCharType="end"/>
      </w:r>
      <w:r w:rsidR="006133C8">
        <w:br/>
      </w:r>
      <w:r w:rsidRPr="00020852">
        <w:t>Intentional Infliction of Emotional Distress (“IIED”)</w:t>
      </w:r>
      <w:bookmarkEnd w:id="49"/>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IIED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r w:rsidRPr="00020852">
        <w:rPr>
          <w:rFonts w:cs="Times New Roman"/>
          <w:bCs/>
          <w:i/>
          <w:iCs/>
          <w:szCs w:val="24"/>
        </w:rPr>
        <w:t xml:space="preserve">Plotnik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50" w:name="_Toc130368718"/>
      <w:r w:rsidRPr="00020852">
        <w:fldChar w:fldCharType="end"/>
      </w:r>
      <w:r w:rsidR="006133C8">
        <w:br/>
      </w:r>
      <w:r w:rsidRPr="00020852">
        <w:t>Violation of Open Meeting Act</w:t>
      </w:r>
      <w:bookmarkEnd w:id="50"/>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Pr="00D010AC" w:rsidRDefault="007B2701" w:rsidP="00510B87">
      <w:pPr>
        <w:spacing w:after="264"/>
        <w:ind w:left="1080" w:hanging="360"/>
        <w:rPr>
          <w:rFonts w:cs="Times New Roman"/>
          <w:bCs/>
          <w:szCs w:val="24"/>
          <w:lang w:val="fr-FR"/>
        </w:rPr>
      </w:pPr>
      <w:r w:rsidRPr="00D010AC">
        <w:rPr>
          <w:rFonts w:cs="Times New Roman"/>
          <w:bCs/>
          <w:szCs w:val="24"/>
          <w:lang w:val="fr-FR"/>
        </w:rPr>
        <w:t xml:space="preserve">—  </w:t>
      </w:r>
      <w:r w:rsidR="00510B87" w:rsidRPr="00D010AC">
        <w:rPr>
          <w:rFonts w:cs="Times New Roman"/>
          <w:bCs/>
          <w:szCs w:val="24"/>
          <w:lang w:val="fr-FR"/>
        </w:rPr>
        <w:t xml:space="preserve">Relevant </w:t>
      </w:r>
      <w:proofErr w:type="spellStart"/>
      <w:r w:rsidR="00510B87" w:rsidRPr="00D010AC">
        <w:rPr>
          <w:rFonts w:cs="Times New Roman"/>
          <w:bCs/>
          <w:szCs w:val="24"/>
          <w:lang w:val="fr-FR"/>
        </w:rPr>
        <w:t>statutes</w:t>
      </w:r>
      <w:proofErr w:type="spellEnd"/>
      <w:r w:rsidR="00510B87" w:rsidRPr="00D010AC">
        <w:rPr>
          <w:rFonts w:cs="Times New Roman"/>
          <w:bCs/>
          <w:szCs w:val="24"/>
          <w:lang w:val="fr-FR"/>
        </w:rPr>
        <w:t>: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085D8CBD" w14:textId="520575C3"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w:t>
      </w:r>
      <w:r w:rsidR="002426F4">
        <w:rPr>
          <w:rFonts w:cs="Times New Roman"/>
          <w:bCs/>
          <w:szCs w:val="24"/>
        </w:rPr>
        <w:t>,</w:t>
      </w:r>
      <w:r w:rsidRPr="00020852">
        <w:rPr>
          <w:rFonts w:cs="Times New Roman"/>
          <w:bCs/>
          <w:szCs w:val="24"/>
        </w:rPr>
        <w:t>” Negligence</w:t>
      </w:r>
      <w:r w:rsidR="002426F4">
        <w:rPr>
          <w:rFonts w:cs="Times New Roman"/>
          <w:bCs/>
          <w:szCs w:val="24"/>
        </w:rPr>
        <w:t>,” and “Breach of Fiduciary Duty</w:t>
      </w:r>
      <w:r w:rsidRPr="00020852">
        <w:rPr>
          <w:rFonts w:cs="Times New Roman"/>
          <w:bCs/>
          <w:szCs w:val="24"/>
        </w:rPr>
        <w:t>” causes of action above are also applicable to a declaratory relief claim.</w:t>
      </w:r>
    </w:p>
    <w:p w14:paraId="59D56C04" w14:textId="5FDBA806" w:rsidR="00204C54" w:rsidRDefault="00204C54" w:rsidP="00204C54">
      <w:pPr>
        <w:spacing w:after="264"/>
        <w:ind w:left="1080" w:hanging="360"/>
        <w:rPr>
          <w:rFonts w:cs="Times New Roman"/>
          <w:bCs/>
          <w:szCs w:val="24"/>
        </w:rPr>
      </w:pPr>
      <w:r w:rsidRPr="00020852">
        <w:rPr>
          <w:rFonts w:cs="Times New Roman"/>
          <w:bCs/>
          <w:szCs w:val="24"/>
        </w:rPr>
        <w:t xml:space="preserve">—  The “failure to maintain” issue discussed in the context of the “Breach of CC&amp;Rs,” “Negligence,” </w:t>
      </w:r>
      <w:r>
        <w:rPr>
          <w:rFonts w:cs="Times New Roman"/>
          <w:bCs/>
          <w:szCs w:val="24"/>
        </w:rPr>
        <w:t xml:space="preserve">“Breach of Fiduciary Duty,” </w:t>
      </w:r>
      <w:r w:rsidRPr="00020852">
        <w:rPr>
          <w:rFonts w:cs="Times New Roman"/>
          <w:bCs/>
          <w:szCs w:val="24"/>
        </w:rPr>
        <w:t>and “Nuisance” causes of action above is also applicable in the context of a claim for declaratory relief.</w:t>
      </w:r>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Los Angeles</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Los Angeles</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9CADF2A" w14:textId="77777777" w:rsidR="00A35502" w:rsidRDefault="00A35502" w:rsidP="00A35502">
      <w:pPr>
        <w:spacing w:after="264"/>
        <w:rPr>
          <w:rFonts w:cs="Times New Roman"/>
        </w:rPr>
      </w:pPr>
      <w:r w:rsidRPr="00020852">
        <w:rPr>
          <w:rFonts w:cs="Times New Roman"/>
        </w:rPr>
        <w:t xml:space="preserve">Given the facts of this dispute, the Davis-Stirling Act does </w:t>
      </w:r>
      <w:r w:rsidRPr="002E717C">
        <w:rPr>
          <w:rFonts w:cs="Times New Roman"/>
          <w:i/>
          <w:iCs/>
        </w:rPr>
        <w:t>not</w:t>
      </w:r>
      <w:r w:rsidRPr="00020852">
        <w:rPr>
          <w:rFonts w:cs="Times New Roman"/>
        </w:rPr>
        <w:t xml:space="preserve"> require pre-lawsuit ADR.</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Article 16, Section 6</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None at this time.</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Lavi v. 1862 Bel-Agio, Inc.</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