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Gant v. Creekside Village Maintenance Corp. and Plasencia</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SE</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Client owns the real property located at 1490 W. Lambert Road, Unit 343, La Habra, CA 90631 (the “Property”). On October 4, 2025, Client’s tenants notified the HOA that there was bubbling in the wall and ceiling of the bathroom that indicated there was a water leak from the upstairs condo (Unit 342).  Shortly after, the HOA’s plumber, Partners Plumbing, inspected the damage at the Property and after it opened the wall in the bathroom, observed significant water damage. The investigation indicated that the leak originated from the toilet in Unit 342.
          <w:br/>
          <w:br/>
          Ms. Gant was forced to get a hotel for her tenants. Meanwhile, the owner of Unit 342, Yolanda Plasencia, who had her own tenants, delayed providing the HOA with access to Unit 342. This caused delays in the remediation of the Property and that ultimately led to additional displacement for Ms. Gant’s tenants, increasing her expenses.
          <w:br/>
          <w:br/>
          Client seeks to hold the HOA and Ms. Plasencia liable for damages her insurance carrier did not cover because of the unreasonable delays.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E14AB1" w:rsidRPr="007C6F41" w14:paraId="1FEB560F" w14:textId="77777777" w:rsidTr="00F53050">
        <w:trPr>
          <w:trHeight w:val="773"/>
        </w:trPr>
        <w:tc>
          <w:tcPr>
            <w:tcW w:w="5215" w:type="dxa"/>
            <w:shd w:val="clear" w:color="auto" w:fill="BDD6EE" w:themeFill="accent1" w:themeFillTint="66"/>
            <w:vAlign w:val="center"/>
          </w:tcPr>
          <w:p w14:paraId="2A3E2548" w14:textId="77777777" w:rsidR="00E14AB1" w:rsidRPr="007C6F41" w:rsidRDefault="00E14AB1" w:rsidP="00EF2457">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6C94B4DC" w14:textId="07DC275B" w:rsidR="00E14AB1" w:rsidRPr="007C6F41" w:rsidRDefault="00B71E52" w:rsidP="00EF2457">
            <w:pPr>
              <w:spacing w:afterLines="0" w:after="0"/>
              <w:rPr>
                <w:rFonts w:cs="Times New Roman"/>
                <w:b/>
              </w:rPr>
            </w:pPr>
            <w:r w:rsidRPr="007C6F41">
              <w:rPr>
                <w:rFonts w:cs="Times New Roman"/>
                <w:b/>
              </w:rPr>
              <w:t>Significance to Underlying Matter/Dispute</w:t>
            </w:r>
          </w:p>
        </w:tc>
      </w:tr>
      <w:tr w:rsidR="00E14AB1" w:rsidRPr="007C6F41" w14:paraId="633FE056" w14:textId="77777777" w:rsidTr="00964F25">
        <w:tc>
          <w:tcPr>
            <w:tcW w:w="5215" w:type="dxa"/>
            <w:vAlign w:val="center"/>
          </w:tcPr>
          <w:p w14:paraId="2041C099" w14:textId="338363E0" w:rsidR="004D6471" w:rsidRPr="007F69BE" w:rsidRDefault="00D41496" w:rsidP="00EF2457">
            <w:pPr>
              <w:spacing w:afterLines="0" w:after="0"/>
              <w:rPr>
                <w:rFonts w:cs="Times New Roman"/>
                <w:sz w:val="20"/>
                <w:szCs w:val="20"/>
              </w:rPr>
            </w:pPr>
            <w:r>
              <w:rPr>
                <w:rFonts w:cs="Times New Roman"/>
                <w:sz w:val="20"/>
                <w:szCs w:val="20"/>
              </w:rPr>
              <w:t>Louise Gant</w:t>
            </w:r>
            <w:r w:rsidR="006C37BD">
              <w:rPr>
                <w:rFonts w:cs="Times New Roman"/>
                <w:sz w:val="20"/>
                <w:szCs w:val="20"/>
              </w:rPr>
              <w:t xml:space="preserve"> (“Client”)</w:t>
            </w:r>
          </w:p>
        </w:tc>
        <w:tc>
          <w:tcPr>
            <w:tcW w:w="5490" w:type="dxa"/>
            <w:vAlign w:val="center"/>
          </w:tcPr>
          <w:p w14:paraId="2EEC5A15" w14:textId="77777777" w:rsidR="00EC6A14" w:rsidRPr="007F69BE" w:rsidRDefault="00EC6A14" w:rsidP="00EF2457">
            <w:pPr>
              <w:spacing w:afterLines="0" w:after="0"/>
              <w:rPr>
                <w:rFonts w:cs="Times New Roman"/>
                <w:sz w:val="20"/>
                <w:szCs w:val="20"/>
              </w:rPr>
            </w:pPr>
          </w:p>
          <w:p w14:paraId="383E8CA4" w14:textId="6A89436B" w:rsidR="00E14AB1" w:rsidRPr="007F69BE" w:rsidRDefault="00E14AB1" w:rsidP="00EF2457">
            <w:pPr>
              <w:spacing w:afterLines="0" w:after="0"/>
              <w:rPr>
                <w:rFonts w:cs="Times New Roman"/>
                <w:sz w:val="20"/>
                <w:szCs w:val="20"/>
              </w:rPr>
            </w:pPr>
            <w:r w:rsidRPr="007F69BE">
              <w:rPr>
                <w:rFonts w:cs="Times New Roman"/>
                <w:sz w:val="20"/>
                <w:szCs w:val="20"/>
              </w:rPr>
              <w:t>Client / HOA Member</w:t>
            </w:r>
          </w:p>
          <w:p w14:paraId="15867B96" w14:textId="43EB62EA" w:rsidR="004D6471" w:rsidRPr="007F69BE" w:rsidRDefault="004D6471" w:rsidP="00EF2457">
            <w:pPr>
              <w:spacing w:afterLines="0" w:after="0"/>
              <w:rPr>
                <w:rFonts w:cs="Times New Roman"/>
                <w:sz w:val="20"/>
                <w:szCs w:val="20"/>
              </w:rPr>
            </w:pPr>
          </w:p>
        </w:tc>
      </w:tr>
      <w:tr w:rsidR="000375D2" w:rsidRPr="007C6F41" w14:paraId="4705B893" w14:textId="77777777" w:rsidTr="009E43CE">
        <w:trPr>
          <w:cantSplit/>
        </w:trPr>
        <w:tc>
          <w:tcPr>
            <w:tcW w:w="5215" w:type="dxa"/>
            <w:vAlign w:val="center"/>
          </w:tcPr>
          <w:p w14:paraId="424FE35A" w14:textId="19BD7BB6" w:rsidR="000375D2" w:rsidRPr="007F69BE" w:rsidRDefault="00D41496" w:rsidP="00EF2457">
            <w:pPr>
              <w:spacing w:afterLines="0" w:after="0"/>
              <w:rPr>
                <w:rFonts w:cs="Times New Roman"/>
                <w:sz w:val="20"/>
                <w:szCs w:val="20"/>
              </w:rPr>
            </w:pPr>
            <w:r>
              <w:rPr>
                <w:rFonts w:cs="Times New Roman"/>
                <w:sz w:val="20"/>
                <w:szCs w:val="20"/>
              </w:rPr>
              <w:t>Creekside Village Maintenance Corporation (the "HOA")</w:t>
            </w:r>
          </w:p>
        </w:tc>
        <w:tc>
          <w:tcPr>
            <w:tcW w:w="5490" w:type="dxa"/>
            <w:vAlign w:val="center"/>
          </w:tcPr>
          <w:p w14:paraId="4785EB8A" w14:textId="492C19F6" w:rsidR="00EC6A14" w:rsidRPr="007F69BE" w:rsidRDefault="00EC6A14" w:rsidP="00EF2457">
            <w:pPr>
              <w:spacing w:afterLines="0" w:after="0"/>
              <w:rPr>
                <w:rFonts w:cs="Times New Roman"/>
                <w:sz w:val="20"/>
                <w:szCs w:val="20"/>
              </w:rPr>
            </w:pPr>
          </w:p>
          <w:p w14:paraId="001B55CF" w14:textId="2A35E70D" w:rsidR="000375D2" w:rsidRPr="007F69BE" w:rsidRDefault="00D41496" w:rsidP="00EF2457">
            <w:pPr>
              <w:spacing w:afterLines="0" w:after="0"/>
              <w:rPr>
                <w:rFonts w:cs="Times New Roman"/>
                <w:sz w:val="20"/>
                <w:szCs w:val="20"/>
              </w:rPr>
            </w:pPr>
            <w:r>
              <w:rPr>
                <w:rFonts w:cs="Times New Roman"/>
                <w:sz w:val="20"/>
                <w:szCs w:val="20"/>
              </w:rPr>
              <w:t>HOA</w:t>
            </w:r>
            <w:r w:rsidR="00BE557F" w:rsidRPr="007F69BE">
              <w:rPr>
                <w:rFonts w:cs="Times New Roman"/>
                <w:sz w:val="20"/>
                <w:szCs w:val="20"/>
              </w:rPr>
              <w:t xml:space="preserve"> </w:t>
            </w:r>
          </w:p>
          <w:p w14:paraId="0DD1DC86" w14:textId="1DFCA38F" w:rsidR="004D6471" w:rsidRPr="007F69BE" w:rsidRDefault="004D6471" w:rsidP="00EF2457">
            <w:pPr>
              <w:spacing w:afterLines="0" w:after="0"/>
              <w:rPr>
                <w:rFonts w:cs="Times New Roman"/>
                <w:sz w:val="20"/>
                <w:szCs w:val="20"/>
              </w:rPr>
            </w:pPr>
          </w:p>
        </w:tc>
      </w:tr>
      <w:tr w:rsidR="00E4074A" w:rsidRPr="0076627F" w14:paraId="14903296" w14:textId="77777777" w:rsidTr="00964F25">
        <w:tc>
          <w:tcPr>
            <w:tcW w:w="5215" w:type="dxa"/>
            <w:vAlign w:val="center"/>
          </w:tcPr>
          <w:p w14:paraId="7855CD6D" w14:textId="49C5B7C4" w:rsidR="00E4074A" w:rsidRPr="007F69BE" w:rsidRDefault="00D41496" w:rsidP="00EF2457">
            <w:pPr>
              <w:spacing w:afterLines="0" w:after="0"/>
              <w:rPr>
                <w:rFonts w:cs="Times New Roman"/>
                <w:sz w:val="20"/>
                <w:szCs w:val="20"/>
              </w:rPr>
            </w:pPr>
            <w:r>
              <w:rPr>
                <w:rFonts w:cs="Times New Roman"/>
                <w:sz w:val="20"/>
                <w:szCs w:val="20"/>
              </w:rPr>
              <w:t>Yolanda Plasencia ("Ms. Plasencia")</w:t>
            </w:r>
          </w:p>
        </w:tc>
        <w:tc>
          <w:tcPr>
            <w:tcW w:w="5490" w:type="dxa"/>
            <w:vAlign w:val="center"/>
          </w:tcPr>
          <w:p w14:paraId="7BA2B8BF" w14:textId="77777777" w:rsidR="00EC6A14" w:rsidRPr="007F69BE" w:rsidRDefault="00EC6A14" w:rsidP="00EF2457">
            <w:pPr>
              <w:spacing w:afterLines="0" w:after="0"/>
              <w:rPr>
                <w:rFonts w:cs="Times New Roman"/>
                <w:sz w:val="20"/>
                <w:szCs w:val="20"/>
              </w:rPr>
            </w:pPr>
          </w:p>
          <w:p w14:paraId="4E8114E2" w14:textId="6771C5F8" w:rsidR="00E4074A" w:rsidRPr="007F69BE" w:rsidRDefault="00D41496" w:rsidP="00EF2457">
            <w:pPr>
              <w:spacing w:afterLines="0" w:after="0"/>
              <w:rPr>
                <w:rFonts w:cs="Times New Roman"/>
                <w:sz w:val="20"/>
                <w:szCs w:val="20"/>
              </w:rPr>
            </w:pPr>
            <w:r>
              <w:rPr>
                <w:rFonts w:cs="Times New Roman"/>
                <w:sz w:val="20"/>
                <w:szCs w:val="20"/>
              </w:rPr>
              <w:t>Neighbor</w:t>
            </w:r>
            <w:r w:rsidR="00BE557F" w:rsidRPr="007F69BE">
              <w:rPr>
                <w:rFonts w:cs="Times New Roman"/>
                <w:sz w:val="20"/>
                <w:szCs w:val="20"/>
              </w:rPr>
              <w:t xml:space="preserve"> </w:t>
            </w:r>
          </w:p>
          <w:p w14:paraId="0EB6C42A" w14:textId="52A63D0E" w:rsidR="004D6471" w:rsidRPr="007F69BE" w:rsidRDefault="004D6471" w:rsidP="00EF2457">
            <w:pPr>
              <w:spacing w:afterLines="0" w:after="0"/>
              <w:rPr>
                <w:rFonts w:cs="Times New Roman"/>
                <w:sz w:val="20"/>
                <w:szCs w:val="20"/>
              </w:rPr>
            </w:pPr>
          </w:p>
        </w:tc>
      </w:tr>
    </w:tbl>
    <w:p w14:paraId="29E60F75" w14:textId="7CFBE10C"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5902569" w14:textId="32362D58" w:rsidR="00DC2DC5" w:rsidRDefault="00E33732" w:rsidP="00DC2DC5">
      <w:pPr>
        <w:pStyle w:val="NormalEnd"/>
        <w:spacing w:after="264"/>
      </w:pPr>
      <w:r>
        <w:t>At this time, the Firm does not need Client to provide any additional information or clarification. This section of the Preliminary Analysis may, however, be amended from time to time as new information/questions arise.</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4FC8F13D" w14:textId="277CD3B8" w:rsidR="003D5F3C" w:rsidRDefault="003D5F3C" w:rsidP="00CD069B">
      <w:pPr>
        <w:pStyle w:val="NormalEnd"/>
        <w:spacing w:after="264"/>
      </w:pPr>
      <w:r>
        <w:t>The HOA produced some documents in response to a Civil Code section 5200 demand. The Firm will complete its review of those documents to determine whether any that should’ve been included are in fact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6B7BE2EA" w14:textId="63A56741" w:rsidR="0076752F" w:rsidRDefault="00D00717" w:rsidP="0038079C">
      <w:pPr>
        <w:pStyle w:val="NormalEnd"/>
        <w:spacing w:after="264"/>
      </w:pPr>
      <w:r>
        <w:t>None at the moment.</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BA5277" w:rsidRPr="00CC0856">
        <w:rPr>
          <w:rStyle w:val="Heading1Char"/>
        </w:rPr>
        <w:t>Potential Causes of Action and the Strength</w:t>
      </w:r>
      <w:r w:rsidR="002857CC" w:rsidRPr="00CC0856">
        <w:rPr>
          <w:rStyle w:val="Heading1Char"/>
        </w:rPr>
        <w:t>s</w:t>
      </w:r>
      <w:r w:rsidR="00BA5277" w:rsidRPr="00CC0856">
        <w:rPr>
          <w:rStyle w:val="Heading1Char"/>
        </w:rPr>
        <w:t>/Weaknesses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p w14:paraId="03D8BE70" w14:textId="01A9BBE2" w:rsidR="00A75054" w:rsidRDefault="00E02E28" w:rsidP="000A2D54">
      <w:pPr>
        <w:spacing w:after="264"/>
        <w:ind w:left="1080" w:hanging="360"/>
        <w:rPr>
          <w:rFonts w:cs="Times New Roman"/>
          <w:bCs/>
          <w:szCs w:val="24"/>
        </w:rPr>
      </w:pPr>
      <w:r>
        <w:rPr>
          <w:rFonts w:cs="Times New Roman"/>
          <w:bCs/>
          <w:szCs w:val="24"/>
        </w:rPr>
        <w:t xml:space="preserve">—  </w:t>
      </w:r>
      <w:r w:rsidR="00A321DF" w:rsidRPr="00E44C81">
        <w:rPr>
          <w:rFonts w:cs="Times New Roman"/>
          <w:bCs/>
          <w:szCs w:val="24"/>
        </w:rPr>
        <w:t xml:space="preserve">One of the fundamental duties of </w:t>
      </w:r>
      <w:r w:rsidR="006419DB" w:rsidRPr="00E44C81">
        <w:rPr>
          <w:rFonts w:cs="Times New Roman"/>
          <w:bCs/>
          <w:szCs w:val="24"/>
        </w:rPr>
        <w:t>an HOA</w:t>
      </w:r>
      <w:r w:rsidR="00A321DF" w:rsidRPr="00E44C81">
        <w:rPr>
          <w:rFonts w:cs="Times New Roman"/>
          <w:bCs/>
          <w:szCs w:val="24"/>
        </w:rPr>
        <w:t xml:space="preserve"> is to maintain the common areas. (Civ. Code</w:t>
      </w:r>
      <w:r w:rsidR="004D23A6" w:rsidRPr="00E44C81">
        <w:rPr>
          <w:rFonts w:cs="Times New Roman"/>
          <w:bCs/>
          <w:szCs w:val="24"/>
        </w:rPr>
        <w:t>,</w:t>
      </w:r>
      <w:r w:rsidR="00A321DF" w:rsidRPr="00E44C81">
        <w:rPr>
          <w:rFonts w:cs="Times New Roman"/>
          <w:bCs/>
          <w:szCs w:val="24"/>
        </w:rPr>
        <w:t xml:space="preserve"> § 4775.) In performing its duties, an association shall perform a reasonably competent and diligent visual inspection of the accessible areas of the major components that the association is obligated to repair, replace, restore or maintain. (Civ. Code</w:t>
      </w:r>
      <w:r w:rsidR="004D23A6" w:rsidRPr="00E44C81">
        <w:rPr>
          <w:rFonts w:cs="Times New Roman"/>
          <w:bCs/>
          <w:szCs w:val="24"/>
        </w:rPr>
        <w:t>,</w:t>
      </w:r>
      <w:r w:rsidR="00A321DF" w:rsidRPr="00E44C81">
        <w:rPr>
          <w:rFonts w:cs="Times New Roman"/>
          <w:bCs/>
          <w:szCs w:val="24"/>
        </w:rPr>
        <w:t xml:space="preserve"> § 5500(a).)</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844A719" w14:textId="77777777" w:rsidR="003F0E15" w:rsidRDefault="00D129F9" w:rsidP="00E13C80">
      <w:pPr>
        <w:pStyle w:val="Heading2"/>
        <w:spacing w:after="264"/>
        <w:rPr>
          <w:sz w:val="24"/>
          <w:szCs w:val="24"/>
        </w:rPr>
      </w:pPr>
      <w:r w:rsidRPr="00F1120A">
        <w:lastRenderedPageBreak/>
        <w:fldChar w:fldCharType="begin"/>
      </w:r>
      <w:r w:rsidRPr="00F1120A">
        <w:instrText xml:space="preserve"> LISTNUM LegalDefault \l 2 </w:instrText>
      </w:r>
      <w:r w:rsidRPr="00F1120A">
        <w:fldChar w:fldCharType="end"/>
      </w:r>
      <w:r w:rsidR="006669B8">
        <w:br/>
      </w:r>
      <w:r w:rsidRPr="00F1120A">
        <w:t>Negligence</w:t>
      </w:r>
    </w:p>
    <w:p w14:paraId="23D8B756" w14:textId="77777777" w:rsidR="003F0E15" w:rsidRDefault="00CB10A8" w:rsidP="00B2496E">
      <w:pPr>
        <w:spacing w:after="264"/>
        <w:rPr>
          <w:rFonts w:cs="Times New Roman"/>
          <w:bCs/>
          <w:szCs w:val="24"/>
        </w:rPr>
      </w:pPr>
      <w:r w:rsidRPr="00CB10A8">
        <w:rPr>
          <w:rFonts w:cs="Times New Roman"/>
          <w:bCs/>
          <w:szCs w:val="24"/>
          <w:u w:val="single"/>
        </w:rPr>
        <w:t>Elements</w:t>
      </w:r>
      <w:r>
        <w:rPr>
          <w:rFonts w:cs="Times New Roman"/>
          <w:bCs/>
          <w:szCs w:val="24"/>
        </w:rPr>
        <w:t>—</w:t>
      </w:r>
      <w:r w:rsidR="00A87571">
        <w:rPr>
          <w:rFonts w:cs="Times New Roman"/>
          <w:bCs/>
          <w:szCs w:val="24"/>
        </w:rPr>
        <w:t>Negligence</w:t>
      </w:r>
      <w:r w:rsidR="00F4349E">
        <w:rPr>
          <w:rFonts w:cs="Times New Roman"/>
          <w:bCs/>
          <w:szCs w:val="24"/>
        </w:rPr>
        <w:t>.</w:t>
      </w:r>
    </w:p>
    <w:p w14:paraId="6F72F510" w14:textId="77777777" w:rsidR="003F0E15" w:rsidRDefault="00A87571" w:rsidP="00A87571">
      <w:pPr>
        <w:spacing w:after="264"/>
        <w:ind w:left="1080" w:hanging="360"/>
        <w:rPr>
          <w:rFonts w:cs="Times New Roman"/>
          <w:bCs/>
          <w:szCs w:val="24"/>
        </w:rPr>
      </w:pPr>
      <w:r>
        <w:rPr>
          <w:rFonts w:cs="Times New Roman"/>
          <w:bCs/>
          <w:szCs w:val="24"/>
        </w:rPr>
        <w:t xml:space="preserve">—  </w:t>
      </w:r>
      <w:r w:rsidR="005252D4" w:rsidRPr="005252D4">
        <w:rPr>
          <w:rFonts w:cs="Times New Roman"/>
          <w:bCs/>
          <w:szCs w:val="24"/>
        </w:rPr>
        <w:t xml:space="preserve">To prove a claim for negligence, </w:t>
      </w:r>
      <w:r w:rsidR="005252D4">
        <w:rPr>
          <w:rFonts w:cs="Times New Roman"/>
          <w:bCs/>
          <w:szCs w:val="24"/>
        </w:rPr>
        <w:t>p</w:t>
      </w:r>
      <w:r w:rsidR="005252D4" w:rsidRPr="005252D4">
        <w:rPr>
          <w:rFonts w:cs="Times New Roman"/>
          <w:bCs/>
          <w:szCs w:val="24"/>
        </w:rPr>
        <w:t>laintiff must establish: (i) duty; (ii) breach of duty; (iii) proximate cause; and (iv) damages. (</w:t>
      </w:r>
      <w:r w:rsidR="005252D4" w:rsidRPr="005252D4">
        <w:rPr>
          <w:rFonts w:cs="Times New Roman"/>
          <w:bCs/>
          <w:i/>
          <w:iCs/>
          <w:szCs w:val="24"/>
        </w:rPr>
        <w:t>Peredia v. HR Mobile Services, Inc.</w:t>
      </w:r>
      <w:r w:rsidR="005252D4" w:rsidRPr="005252D4">
        <w:rPr>
          <w:rFonts w:cs="Times New Roman"/>
          <w:bCs/>
          <w:szCs w:val="24"/>
        </w:rPr>
        <w:t xml:space="preserve"> (2018) 25 Cal.App.5th 680, 687.)</w:t>
      </w:r>
      <w:r w:rsidR="00346E1B">
        <w:rPr>
          <w:rFonts w:cs="Times New Roman"/>
          <w:bCs/>
          <w:szCs w:val="24"/>
        </w:rPr>
        <w:t xml:space="preserve"> </w:t>
      </w:r>
    </w:p>
    <w:p w14:paraId="603840E0" w14:textId="77777777" w:rsidR="003F0E15" w:rsidRDefault="00805BD9" w:rsidP="00A87571">
      <w:pPr>
        <w:spacing w:after="264"/>
        <w:ind w:left="1080" w:hanging="360"/>
        <w:rPr>
          <w:rFonts w:cs="Times New Roman"/>
          <w:bCs/>
          <w:szCs w:val="24"/>
        </w:rPr>
      </w:pPr>
      <w:r>
        <w:rPr>
          <w:rFonts w:cs="Times New Roman"/>
          <w:bCs/>
          <w:szCs w:val="24"/>
        </w:rPr>
        <w:t xml:space="preserve">—  </w:t>
      </w:r>
      <w:r w:rsidR="006419DB">
        <w:rPr>
          <w:rFonts w:cs="Times New Roman"/>
          <w:bCs/>
          <w:szCs w:val="24"/>
        </w:rPr>
        <w:t>An HOA</w:t>
      </w:r>
      <w:r w:rsidR="00346E1B" w:rsidRPr="00805BD9">
        <w:rPr>
          <w:rFonts w:cs="Times New Roman"/>
          <w:bCs/>
          <w:szCs w:val="24"/>
        </w:rPr>
        <w:t xml:space="preserve"> that fails or refuses to abide by its contractual maintenance obligations is liable to the homeowner for damages caused by such negligence. (See, e.g., </w:t>
      </w:r>
      <w:r w:rsidR="00346E1B" w:rsidRPr="00805BD9">
        <w:rPr>
          <w:rFonts w:cs="Times New Roman"/>
          <w:bCs/>
          <w:i/>
          <w:iCs/>
          <w:szCs w:val="24"/>
        </w:rPr>
        <w:t>White v. Cox</w:t>
      </w:r>
      <w:r w:rsidR="00346E1B" w:rsidRPr="00805BD9">
        <w:rPr>
          <w:rFonts w:cs="Times New Roman"/>
          <w:bCs/>
          <w:szCs w:val="24"/>
        </w:rPr>
        <w:t xml:space="preserve"> (1971) 17 Cal.App.3d 824, 895.)</w:t>
      </w:r>
      <w:r w:rsidR="00346E1B">
        <w:rPr>
          <w:rFonts w:cs="Times New Roman"/>
          <w:bCs/>
          <w:szCs w:val="24"/>
        </w:rPr>
        <w:t xml:space="preserve"> </w:t>
      </w:r>
    </w:p>
    <w:bookmarkStart w:id="11" w:name="_Hlk42581531"/>
    <w:p w14:paraId="7492B443" w14:textId="77777777" w:rsidR="003F0E15" w:rsidRDefault="00ED07CF" w:rsidP="00A87571">
      <w:pPr>
        <w:spacing w:after="264"/>
        <w:ind w:left="1080" w:hanging="360"/>
        <w:rPr>
          <w:rStyle w:val="property1"/>
          <w:rFonts w:eastAsia="Times New Roman" w:cs="Times New Roman"/>
          <w:szCs w:val="24"/>
        </w:rPr>
      </w:pPr>
      <w:r>
        <w:rPr>
          <w:rFonts w:cs="Times New Roman"/>
          <w:bCs/>
          <w:szCs w:val="24"/>
        </w:rPr>
        <w:t xml:space="preserve">—  </w:t>
      </w:r>
      <w:bookmarkStart w:id="12" w:name="_Hlk41133419"/>
      <w:r>
        <w:rPr>
          <w:rFonts w:cs="Times New Roman"/>
          <w:bCs/>
          <w:szCs w:val="24"/>
        </w:rPr>
        <w:t xml:space="preserve">The “enforcement” issue </w:t>
      </w:r>
      <w:r w:rsidR="005968E0">
        <w:rPr>
          <w:rFonts w:cs="Times New Roman"/>
          <w:bCs/>
          <w:szCs w:val="24"/>
        </w:rPr>
        <w:t>raised</w:t>
      </w:r>
      <w:r>
        <w:rPr>
          <w:rFonts w:cs="Times New Roman"/>
          <w:bCs/>
          <w:szCs w:val="24"/>
        </w:rPr>
        <w:t xml:space="preserve"> </w:t>
      </w:r>
      <w:r w:rsidR="00CD0C1E">
        <w:rPr>
          <w:rFonts w:cs="Times New Roman"/>
          <w:bCs/>
          <w:szCs w:val="24"/>
        </w:rPr>
        <w:t xml:space="preserve">in the context of </w:t>
      </w:r>
      <w:r>
        <w:rPr>
          <w:rFonts w:cs="Times New Roman"/>
          <w:bCs/>
          <w:szCs w:val="24"/>
        </w:rPr>
        <w:t xml:space="preserve">the “Breach of CC&amp;Rs” cause of action above </w:t>
      </w:r>
      <w:r w:rsidR="005968E0">
        <w:rPr>
          <w:rFonts w:cs="Times New Roman"/>
          <w:bCs/>
          <w:szCs w:val="24"/>
        </w:rPr>
        <w:t>is</w:t>
      </w:r>
      <w:r w:rsidR="00CD0C1E">
        <w:rPr>
          <w:rFonts w:cs="Times New Roman"/>
          <w:bCs/>
          <w:szCs w:val="24"/>
        </w:rPr>
        <w:t xml:space="preserve"> also</w:t>
      </w:r>
      <w:r>
        <w:rPr>
          <w:rFonts w:cs="Times New Roman"/>
          <w:bCs/>
          <w:szCs w:val="24"/>
        </w:rPr>
        <w:t xml:space="preserve"> applicable in the context of a negligence </w:t>
      </w:r>
      <w:r w:rsidR="00CD0C1E">
        <w:rPr>
          <w:rFonts w:cs="Times New Roman"/>
          <w:bCs/>
          <w:szCs w:val="24"/>
        </w:rPr>
        <w:t>claim</w:t>
      </w:r>
      <w:r>
        <w:rPr>
          <w:rFonts w:cs="Times New Roman"/>
          <w:bCs/>
          <w:szCs w:val="24"/>
        </w:rPr>
        <w:t>.</w:t>
      </w:r>
      <w:bookmarkEnd w:id="12"/>
    </w:p>
    <w:bookmarkStart w:id="13" w:name="_Hlk41032600"/>
    <w:p w14:paraId="1B59E5E9" w14:textId="77777777" w:rsidR="003F0E15" w:rsidRDefault="001A327C" w:rsidP="001A327C">
      <w:pPr>
        <w:spacing w:after="264"/>
        <w:ind w:left="1080" w:hanging="360"/>
        <w:rPr>
          <w:rStyle w:val="property1"/>
          <w:rFonts w:eastAsia="Times New Roman"/>
        </w:rPr>
      </w:pPr>
      <w:bookmarkStart w:id="14" w:name="_Hlk41131756"/>
      <w:r>
        <w:rPr>
          <w:rFonts w:cs="Times New Roman"/>
          <w:bCs/>
          <w:szCs w:val="24"/>
        </w:rPr>
        <w:t xml:space="preserve">—  </w:t>
      </w:r>
      <w:r w:rsidR="00E64351">
        <w:rPr>
          <w:rFonts w:cs="Times New Roman"/>
          <w:bCs/>
          <w:szCs w:val="24"/>
        </w:rPr>
        <w:t>The “failure to maintain” issue discussed in the context of the “Breach of CC&amp;Rs” cause of action above is also applicable in the context of a negligence claim.</w:t>
      </w:r>
      <w:bookmarkEnd w:id="14"/>
      <w:r w:rsidR="00E64351">
        <w:rPr>
          <w:rFonts w:cs="Times New Roman"/>
          <w:szCs w:val="24"/>
        </w:rPr>
        <w:t xml:space="preserve"> </w:t>
      </w:r>
    </w:p>
    <w:p w14:paraId="6E071E06"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04313290" w14:textId="77777777" w:rsidR="003F0E15" w:rsidRDefault="00805A7D"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Compensatory damages are available for all harm proximately caused by a defendant’s wrongful acts. (Civ. Code, §§ 3281, 3333-3343.7.)</w:t>
      </w:r>
    </w:p>
    <w:p w14:paraId="7679D226" w14:textId="77777777" w:rsidR="003F0E15" w:rsidRDefault="00CF5802" w:rsidP="00805A7D">
      <w:pPr>
        <w:spacing w:after="264"/>
        <w:ind w:left="1080" w:hanging="360"/>
        <w:rPr>
          <w:rFonts w:cs="Times New Roman"/>
          <w:bCs/>
          <w:szCs w:val="24"/>
        </w:rPr>
      </w:pPr>
      <w:r>
        <w:rPr>
          <w:rFonts w:cs="Times New Roman"/>
          <w:bCs/>
          <w:szCs w:val="24"/>
        </w:rPr>
        <w:t xml:space="preserve">—  </w:t>
      </w:r>
      <w:r w:rsidR="003048F9" w:rsidRPr="003048F9">
        <w:rPr>
          <w:rFonts w:cs="Times New Roman"/>
          <w:bCs/>
          <w:szCs w:val="24"/>
        </w:rPr>
        <w:t>Injunctive Relief is available. Courts can fashion equitable relief to remedy negligent conditions. (</w:t>
      </w:r>
      <w:r w:rsidR="003048F9" w:rsidRPr="003048F9">
        <w:rPr>
          <w:rFonts w:cs="Times New Roman"/>
          <w:bCs/>
          <w:i/>
          <w:iCs/>
          <w:szCs w:val="24"/>
        </w:rPr>
        <w:t>Ritter &amp; Ritter Inc. Pension and Profit Plan v. The Churchill Condominium Assn.</w:t>
      </w:r>
      <w:r w:rsidR="003048F9" w:rsidRPr="003048F9">
        <w:rPr>
          <w:rFonts w:cs="Times New Roman"/>
          <w:bCs/>
          <w:szCs w:val="24"/>
        </w:rPr>
        <w:t xml:space="preserve"> (2008) 166 Cal.App.4th 103.)</w:t>
      </w:r>
    </w:p>
    <w:p w14:paraId="5938FE63" w14:textId="77777777" w:rsidR="003F0E15" w:rsidRDefault="00630C8F" w:rsidP="00805A7D">
      <w:pPr>
        <w:spacing w:after="264"/>
        <w:ind w:left="1080" w:hanging="360"/>
        <w:rPr>
          <w:rFonts w:cs="Times New Roman"/>
          <w:bCs/>
          <w:szCs w:val="24"/>
        </w:rPr>
      </w:pPr>
      <w:r>
        <w:rPr>
          <w:rFonts w:cs="Times New Roman"/>
          <w:bCs/>
          <w:szCs w:val="24"/>
        </w:rPr>
        <w:t xml:space="preserve">—  Damages for emotional distress are only available in connection with bodily injury. </w:t>
      </w:r>
      <w:r w:rsidRPr="00630C8F">
        <w:rPr>
          <w:rFonts w:cs="Times New Roman"/>
          <w:bCs/>
          <w:szCs w:val="24"/>
        </w:rPr>
        <w:t>(</w:t>
      </w:r>
      <w:r w:rsidRPr="00630C8F">
        <w:rPr>
          <w:rFonts w:cs="Times New Roman"/>
          <w:bCs/>
          <w:i/>
          <w:iCs/>
          <w:szCs w:val="24"/>
        </w:rPr>
        <w:t>Potter v. Firestone Tire &amp; Rubber</w:t>
      </w:r>
      <w:r w:rsidRPr="00630C8F">
        <w:rPr>
          <w:rFonts w:cs="Times New Roman"/>
          <w:bCs/>
          <w:szCs w:val="24"/>
        </w:rPr>
        <w:t xml:space="preserve"> (1993) 6 Cal.4th 965.) </w:t>
      </w:r>
      <w:r>
        <w:rPr>
          <w:rFonts w:cs="Times New Roman"/>
          <w:bCs/>
          <w:szCs w:val="24"/>
        </w:rPr>
        <w:t xml:space="preserve">Such relief, when available, arises out of a claim for </w:t>
      </w:r>
      <w:r w:rsidRPr="00630C8F">
        <w:rPr>
          <w:rFonts w:cs="Times New Roman"/>
          <w:bCs/>
          <w:szCs w:val="24"/>
        </w:rPr>
        <w:t xml:space="preserve"> </w:t>
      </w:r>
      <w:r w:rsidRPr="00630C8F">
        <w:rPr>
          <w:rFonts w:cs="Times New Roman"/>
          <w:bCs/>
          <w:i/>
          <w:iCs/>
          <w:szCs w:val="24"/>
        </w:rPr>
        <w:t>negligent infliction of emotional distress</w:t>
      </w:r>
      <w:r w:rsidRPr="00630C8F">
        <w:rPr>
          <w:rFonts w:cs="Times New Roman"/>
          <w:bCs/>
          <w:szCs w:val="24"/>
        </w:rPr>
        <w:t xml:space="preserve">, </w:t>
      </w:r>
      <w:r w:rsidR="003048F9">
        <w:rPr>
          <w:rFonts w:cs="Times New Roman"/>
          <w:bCs/>
          <w:szCs w:val="24"/>
        </w:rPr>
        <w:t xml:space="preserve">which often involve </w:t>
      </w:r>
      <w:r w:rsidRPr="00630C8F">
        <w:rPr>
          <w:rFonts w:cs="Times New Roman"/>
          <w:bCs/>
          <w:szCs w:val="24"/>
        </w:rPr>
        <w:t>“bystander situations”</w:t>
      </w:r>
      <w:r w:rsidR="003048F9">
        <w:rPr>
          <w:rFonts w:cs="Times New Roman"/>
          <w:bCs/>
          <w:szCs w:val="24"/>
        </w:rPr>
        <w:t xml:space="preserve">—e.g., witnessing injury to a family member. </w:t>
      </w:r>
      <w:r w:rsidRPr="00630C8F">
        <w:rPr>
          <w:rFonts w:cs="Times New Roman"/>
          <w:bCs/>
          <w:szCs w:val="24"/>
        </w:rPr>
        <w:t>(</w:t>
      </w:r>
      <w:r w:rsidRPr="00630C8F">
        <w:rPr>
          <w:rFonts w:cs="Times New Roman"/>
          <w:bCs/>
          <w:i/>
          <w:iCs/>
          <w:szCs w:val="24"/>
        </w:rPr>
        <w:t>Burgess v. Superior Court</w:t>
      </w:r>
      <w:r w:rsidRPr="00630C8F">
        <w:rPr>
          <w:rFonts w:cs="Times New Roman"/>
          <w:bCs/>
          <w:szCs w:val="24"/>
        </w:rPr>
        <w:t xml:space="preserve"> (1992) 2 Cal.4th 1064.) Emotional distress damages for negligence </w:t>
      </w:r>
      <w:r w:rsidRPr="000A1839">
        <w:rPr>
          <w:rFonts w:cs="Times New Roman"/>
          <w:bCs/>
          <w:i/>
          <w:iCs/>
          <w:szCs w:val="24"/>
        </w:rPr>
        <w:t>without</w:t>
      </w:r>
      <w:r w:rsidRPr="00630C8F">
        <w:rPr>
          <w:rFonts w:cs="Times New Roman"/>
          <w:bCs/>
          <w:szCs w:val="24"/>
        </w:rPr>
        <w:t xml:space="preserve"> injury</w:t>
      </w:r>
      <w:r w:rsidR="000A1839">
        <w:rPr>
          <w:rFonts w:cs="Times New Roman"/>
          <w:bCs/>
          <w:szCs w:val="24"/>
        </w:rPr>
        <w:t xml:space="preserve"> (e.g., fear </w:t>
      </w:r>
      <w:r w:rsidRPr="00630C8F">
        <w:rPr>
          <w:rFonts w:cs="Times New Roman"/>
          <w:bCs/>
          <w:szCs w:val="24"/>
        </w:rPr>
        <w:t>of illness such as cancer if exposed to toxic substances threatening cancer</w:t>
      </w:r>
      <w:r w:rsidR="000A1839">
        <w:rPr>
          <w:rFonts w:cs="Times New Roman"/>
          <w:bCs/>
          <w:szCs w:val="24"/>
        </w:rPr>
        <w:t xml:space="preserve">) available if </w:t>
      </w:r>
      <w:r w:rsidRPr="00630C8F">
        <w:rPr>
          <w:rFonts w:cs="Times New Roman"/>
          <w:bCs/>
          <w:szCs w:val="24"/>
        </w:rPr>
        <w:t>defendant acted with malice, fraud</w:t>
      </w:r>
      <w:r w:rsidR="000A1839">
        <w:rPr>
          <w:rFonts w:cs="Times New Roman"/>
          <w:bCs/>
          <w:szCs w:val="24"/>
        </w:rPr>
        <w:t>,</w:t>
      </w:r>
      <w:r w:rsidRPr="00630C8F">
        <w:rPr>
          <w:rFonts w:cs="Times New Roman"/>
          <w:bCs/>
          <w:szCs w:val="24"/>
        </w:rPr>
        <w:t xml:space="preserve"> or oppression</w:t>
      </w:r>
      <w:r w:rsidR="000A1839">
        <w:rPr>
          <w:rFonts w:cs="Times New Roman"/>
          <w:bCs/>
          <w:szCs w:val="24"/>
        </w:rPr>
        <w:t xml:space="preserve">, and the </w:t>
      </w:r>
      <w:r w:rsidRPr="00630C8F">
        <w:rPr>
          <w:rFonts w:cs="Times New Roman"/>
          <w:bCs/>
          <w:szCs w:val="24"/>
        </w:rPr>
        <w:t>fear is based on knowledge corroborated by reliable medical or scientific evidence. (</w:t>
      </w:r>
      <w:r w:rsidRPr="000A1839">
        <w:rPr>
          <w:rFonts w:cs="Times New Roman"/>
          <w:bCs/>
          <w:i/>
          <w:iCs/>
          <w:szCs w:val="24"/>
        </w:rPr>
        <w:t>Potter v. Firestone Tire &amp; Rubber, supra</w:t>
      </w:r>
      <w:r w:rsidRPr="00630C8F">
        <w:rPr>
          <w:rFonts w:cs="Times New Roman"/>
          <w:bCs/>
          <w:szCs w:val="24"/>
        </w:rPr>
        <w:t>, 6 Cal.4th at pp. 999-1000.)</w:t>
      </w:r>
    </w:p>
    <w:p w14:paraId="3792E24E"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7653281"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4F2781C5" w14:textId="77777777" w:rsidR="003F0E15" w:rsidRDefault="00CE6FC7" w:rsidP="00CE6FC7">
      <w:pPr>
        <w:spacing w:after="264"/>
        <w:ind w:left="1080" w:hanging="360"/>
        <w:rPr>
          <w:rFonts w:cs="Times New Roman"/>
          <w:bCs/>
          <w:szCs w:val="24"/>
        </w:rPr>
      </w:pPr>
      <w:r>
        <w:rPr>
          <w:rFonts w:cs="Times New Roman"/>
          <w:bCs/>
          <w:szCs w:val="24"/>
        </w:rPr>
        <w:t xml:space="preserve">—  </w:t>
      </w:r>
      <w:r w:rsidR="00046B57" w:rsidRPr="00046B57">
        <w:rPr>
          <w:rFonts w:cs="Times New Roman"/>
          <w:bCs/>
          <w:szCs w:val="24"/>
        </w:rPr>
        <w:t>Two years for personal injuries</w:t>
      </w:r>
      <w:r w:rsidR="00046B57">
        <w:rPr>
          <w:rFonts w:cs="Times New Roman"/>
          <w:bCs/>
          <w:szCs w:val="24"/>
        </w:rPr>
        <w:t>.</w:t>
      </w:r>
      <w:r w:rsidR="00046B57" w:rsidRPr="00046B57">
        <w:rPr>
          <w:rFonts w:cs="Times New Roman"/>
          <w:bCs/>
          <w:szCs w:val="24"/>
        </w:rPr>
        <w:t xml:space="preserve"> (Code Civ. Proc.</w:t>
      </w:r>
      <w:r w:rsidR="00046B57">
        <w:rPr>
          <w:rFonts w:cs="Times New Roman"/>
          <w:bCs/>
          <w:szCs w:val="24"/>
        </w:rPr>
        <w:t>,</w:t>
      </w:r>
      <w:r w:rsidR="00046B57" w:rsidRPr="00046B57">
        <w:rPr>
          <w:rFonts w:cs="Times New Roman"/>
          <w:bCs/>
          <w:szCs w:val="24"/>
        </w:rPr>
        <w:t xml:space="preserve"> §</w:t>
      </w:r>
      <w:r w:rsidR="00046B57">
        <w:rPr>
          <w:rFonts w:cs="Times New Roman"/>
          <w:bCs/>
          <w:szCs w:val="24"/>
        </w:rPr>
        <w:t xml:space="preserve"> </w:t>
      </w:r>
      <w:r w:rsidR="00046B57" w:rsidRPr="00046B57">
        <w:rPr>
          <w:rFonts w:cs="Times New Roman"/>
          <w:bCs/>
          <w:szCs w:val="24"/>
        </w:rPr>
        <w:t>335.1</w:t>
      </w:r>
      <w:r w:rsidR="00046B57">
        <w:rPr>
          <w:rFonts w:cs="Times New Roman"/>
          <w:bCs/>
          <w:szCs w:val="24"/>
        </w:rPr>
        <w:t>.</w:t>
      </w:r>
      <w:r w:rsidR="00046B57" w:rsidRPr="00046B57">
        <w:rPr>
          <w:rFonts w:cs="Times New Roman"/>
          <w:bCs/>
          <w:szCs w:val="24"/>
        </w:rPr>
        <w:t>)</w:t>
      </w:r>
    </w:p>
    <w:p w14:paraId="525DB925" w14:textId="77777777" w:rsidR="003F0E15" w:rsidRDefault="00046B57" w:rsidP="00CE6FC7">
      <w:pPr>
        <w:spacing w:after="264"/>
        <w:ind w:left="1080" w:hanging="360"/>
        <w:rPr>
          <w:rFonts w:cs="Times New Roman"/>
          <w:bCs/>
          <w:szCs w:val="24"/>
        </w:rPr>
      </w:pPr>
      <w:r>
        <w:rPr>
          <w:rFonts w:cs="Times New Roman"/>
          <w:bCs/>
          <w:szCs w:val="24"/>
        </w:rPr>
        <w:t xml:space="preserve">—  Three years for claims related to injury to property.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p>
    <w:p w14:paraId="0E4BE0B7" w14:textId="77777777" w:rsidR="003F0E15" w:rsidRDefault="00FD0D17"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3177D0" w:rsidRPr="00C5389E">
        <w:rPr>
          <w:rFonts w:cs="Times New Roman"/>
          <w:bCs/>
          <w:szCs w:val="24"/>
        </w:rPr>
        <w:t>Application of the Law to Client’s Facts.</w:t>
      </w:r>
    </w:p>
    <w:p w14:paraId="496EC167" w14:textId="77777777" w:rsidR="003F0E15" w:rsidRDefault="003177D0" w:rsidP="003177D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FD0D17"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negligence</w:t>
      </w:r>
      <w:r w:rsidR="00FD0D17"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FD0D17" w:rsidRPr="009B4639">
        <w:rPr>
          <w:rFonts w:cs="Times New Roman"/>
          <w:bCs/>
          <w:szCs w:val="24"/>
          <w:highlight w:val="green"/>
        </w:rPr>
        <w:t xml:space="preserve"> </w:t>
      </w:r>
    </w:p>
    <w:p w14:paraId="12D98153" w14:textId="77777777" w:rsidR="003F0E15" w:rsidRDefault="006066A6" w:rsidP="006066A6">
      <w:pPr>
        <w:spacing w:after="264"/>
        <w:ind w:left="1080" w:hanging="360"/>
        <w:rPr>
          <w:rFonts w:cs="Times New Roman"/>
          <w:bCs/>
          <w:szCs w:val="24"/>
          <w:highlight w:val="green"/>
        </w:rPr>
      </w:pPr>
      <w:r w:rsidRPr="002D206C">
        <w:rPr>
          <w:rFonts w:cs="Times New Roman"/>
          <w:bCs/>
          <w:szCs w:val="24"/>
          <w:highlight w:val="green"/>
        </w:rPr>
        <w:t>—  ***</w:t>
      </w:r>
    </w:p>
    <w:p w14:paraId="4ECC6E8A" w14:textId="77777777" w:rsidR="003F0E15" w:rsidRDefault="006066A6" w:rsidP="006066A6">
      <w:pPr>
        <w:spacing w:after="264"/>
        <w:ind w:left="1080" w:hanging="360"/>
        <w:rPr>
          <w:rFonts w:cs="Times New Roman"/>
          <w:bCs/>
          <w:szCs w:val="24"/>
        </w:rPr>
      </w:pPr>
      <w:r w:rsidRPr="002D206C">
        <w:rPr>
          <w:rFonts w:cs="Times New Roman"/>
          <w:bCs/>
          <w:szCs w:val="24"/>
          <w:highlight w:val="green"/>
        </w:rPr>
        <w:t>—  ***</w:t>
      </w:r>
    </w:p>
    <w:p w14:paraId="4E05CC6C" w14:textId="77777777" w:rsidR="003F0E15" w:rsidRDefault="006066A6" w:rsidP="006066A6">
      <w:pPr>
        <w:spacing w:after="264"/>
        <w:rPr>
          <w:rFonts w:cs="Times New Roman"/>
          <w:bCs/>
          <w:szCs w:val="24"/>
          <w:highlight w:val="green"/>
        </w:rPr>
      </w:pPr>
      <w:r w:rsidRPr="00C5389E">
        <w:rPr>
          <w:rFonts w:cs="Times New Roman"/>
          <w:bCs/>
          <w:szCs w:val="24"/>
          <w:u w:val="single"/>
        </w:rPr>
        <w:lastRenderedPageBreak/>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02771771"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CD7D376"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467BD6E3" w14:textId="77777777" w:rsidR="003F0E15" w:rsidRDefault="002B6C02" w:rsidP="000B74A2">
      <w:pPr>
        <w:spacing w:after="264"/>
        <w:ind w:left="1080" w:hanging="360"/>
        <w:rPr>
          <w:rFonts w:cs="Times New Roman"/>
          <w:szCs w:val="24"/>
        </w:rPr>
      </w:pPr>
      <w:r>
        <w:rPr>
          <w:rFonts w:cs="Times New Roman"/>
          <w:bCs/>
          <w:szCs w:val="24"/>
        </w:rPr>
        <w:t>—  The “failure to maintain” issue discussed in the context of the “Breach of CC&amp;Rs” and “Negligence” causes of action above is also applicable in the context of a nuisance claim.</w:t>
      </w:r>
    </w:p>
    <w:p w14:paraId="413ADFCE" w14:textId="77777777" w:rsidR="003F0E15" w:rsidRDefault="00BF6456" w:rsidP="000B74A2">
      <w:pPr>
        <w:spacing w:after="264"/>
        <w:ind w:left="1080" w:hanging="360"/>
        <w:rPr>
          <w:rFonts w:cs="Times New Roman"/>
          <w:bCs/>
          <w:szCs w:val="24"/>
        </w:rPr>
      </w:pPr>
      <w:r w:rsidRPr="007E2199">
        <w:rPr>
          <w:rFonts w:cs="Times New Roman"/>
          <w:bCs/>
          <w:szCs w:val="24"/>
        </w:rPr>
        <w:t xml:space="preserve">—  </w:t>
      </w:r>
      <w:r w:rsidR="002B5A1F" w:rsidRPr="007E2199">
        <w:rPr>
          <w:rFonts w:cs="Times New Roman"/>
          <w:bCs/>
          <w:szCs w:val="24"/>
        </w:rPr>
        <w:t>Most importantly</w:t>
      </w:r>
      <w:r w:rsidR="009B628B" w:rsidRPr="007E2199">
        <w:rPr>
          <w:rFonts w:cs="Times New Roman"/>
          <w:bCs/>
          <w:szCs w:val="24"/>
        </w:rPr>
        <w:t xml:space="preserve">, </w:t>
      </w:r>
      <w:r>
        <w:rPr>
          <w:rFonts w:cs="Times New Roman"/>
          <w:bCs/>
          <w:szCs w:val="24"/>
        </w:rPr>
        <w:t>Article XIII, Section 13.3</w:t>
      </w:r>
      <w:r w:rsidR="009B628B" w:rsidRPr="007E2199">
        <w:rPr>
          <w:rFonts w:cs="Times New Roman"/>
          <w:bCs/>
          <w:szCs w:val="24"/>
        </w:rPr>
        <w:t xml:space="preserve"> </w:t>
      </w:r>
      <w:r w:rsidR="002B5A1F" w:rsidRPr="007E2199">
        <w:rPr>
          <w:rFonts w:cs="Times New Roman"/>
          <w:bCs/>
          <w:szCs w:val="24"/>
        </w:rPr>
        <w:t>of the CC&amp;Rs specifically states that a violation of the CC&amp;Rs gives rise to a separate nuisance claim.</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6CDE733A" w14:textId="77777777" w:rsidR="003F0E15" w:rsidRDefault="00364122" w:rsidP="00364122">
      <w:pPr>
        <w:spacing w:after="264"/>
        <w:ind w:left="1080" w:hanging="360"/>
        <w:rPr>
          <w:rStyle w:val="property1"/>
          <w:rFonts w:eastAsia="Times New Roman" w:cs="Times New Roman"/>
          <w:szCs w:val="24"/>
        </w:rPr>
      </w:pPr>
      <w:r>
        <w:rPr>
          <w:rFonts w:cs="Times New Roman"/>
          <w:bCs/>
          <w:szCs w:val="24"/>
        </w:rPr>
        <w:t>—  The “enforcement” issue</w:t>
      </w:r>
      <w:r w:rsidR="00CD0C1E">
        <w:rPr>
          <w:rFonts w:cs="Times New Roman"/>
          <w:bCs/>
          <w:szCs w:val="24"/>
        </w:rPr>
        <w:t>s</w:t>
      </w:r>
      <w:r>
        <w:rPr>
          <w:rFonts w:cs="Times New Roman"/>
          <w:bCs/>
          <w:szCs w:val="24"/>
        </w:rPr>
        <w:t xml:space="preserve"> discussed in the </w:t>
      </w:r>
      <w:r w:rsidR="003D0844">
        <w:rPr>
          <w:rFonts w:cs="Times New Roman"/>
          <w:bCs/>
          <w:szCs w:val="24"/>
        </w:rPr>
        <w:t xml:space="preserve">context of the </w:t>
      </w:r>
      <w:r>
        <w:rPr>
          <w:rFonts w:cs="Times New Roman"/>
          <w:bCs/>
          <w:szCs w:val="24"/>
        </w:rPr>
        <w:t xml:space="preserve">“Breach of CC&amp;Rs” </w:t>
      </w:r>
      <w:r w:rsidR="00F22C21">
        <w:rPr>
          <w:rFonts w:cs="Times New Roman"/>
          <w:bCs/>
          <w:szCs w:val="24"/>
        </w:rPr>
        <w:t xml:space="preserve">and “Negligence” </w:t>
      </w:r>
      <w:r>
        <w:rPr>
          <w:rFonts w:cs="Times New Roman"/>
          <w:bCs/>
          <w:szCs w:val="24"/>
        </w:rPr>
        <w:t>cause</w:t>
      </w:r>
      <w:r w:rsidR="00F22C21">
        <w:rPr>
          <w:rFonts w:cs="Times New Roman"/>
          <w:bCs/>
          <w:szCs w:val="24"/>
        </w:rPr>
        <w:t>s</w:t>
      </w:r>
      <w:r>
        <w:rPr>
          <w:rFonts w:cs="Times New Roman"/>
          <w:bCs/>
          <w:szCs w:val="24"/>
        </w:rPr>
        <w:t xml:space="preserve"> of action above </w:t>
      </w:r>
      <w:r w:rsidR="00CD0C1E">
        <w:rPr>
          <w:rFonts w:cs="Times New Roman"/>
          <w:bCs/>
          <w:szCs w:val="24"/>
        </w:rPr>
        <w:t>are</w:t>
      </w:r>
      <w:r>
        <w:rPr>
          <w:rFonts w:cs="Times New Roman"/>
          <w:bCs/>
          <w:szCs w:val="24"/>
        </w:rPr>
        <w:t xml:space="preserve"> </w:t>
      </w:r>
      <w:r w:rsidR="00F110B2">
        <w:rPr>
          <w:rFonts w:cs="Times New Roman"/>
          <w:bCs/>
          <w:szCs w:val="24"/>
        </w:rPr>
        <w:t xml:space="preserve">also </w:t>
      </w:r>
      <w:r>
        <w:rPr>
          <w:rFonts w:cs="Times New Roman"/>
          <w:bCs/>
          <w:szCs w:val="24"/>
        </w:rPr>
        <w:t xml:space="preserve">applicable </w:t>
      </w:r>
      <w:r w:rsidR="003D0844">
        <w:rPr>
          <w:rFonts w:cs="Times New Roman"/>
          <w:bCs/>
          <w:szCs w:val="24"/>
        </w:rPr>
        <w:t>to</w:t>
      </w:r>
      <w:r>
        <w:rPr>
          <w:rFonts w:cs="Times New Roman"/>
          <w:bCs/>
          <w:szCs w:val="24"/>
        </w:rPr>
        <w:t xml:space="preserve"> a </w:t>
      </w:r>
      <w:r w:rsidR="00F22C21">
        <w:rPr>
          <w:rFonts w:cs="Times New Roman"/>
          <w:bCs/>
          <w:szCs w:val="24"/>
        </w:rPr>
        <w:t>declaratory relief</w:t>
      </w:r>
      <w:r>
        <w:rPr>
          <w:rFonts w:cs="Times New Roman"/>
          <w:bCs/>
          <w:szCs w:val="24"/>
        </w:rPr>
        <w:t xml:space="preserve"> </w:t>
      </w:r>
      <w:r w:rsidR="00F110B2">
        <w:rPr>
          <w:rFonts w:cs="Times New Roman"/>
          <w:bCs/>
          <w:szCs w:val="24"/>
        </w:rPr>
        <w:t>claim</w:t>
      </w:r>
      <w:r>
        <w:rPr>
          <w:rFonts w:cs="Times New Roman"/>
          <w:bCs/>
          <w:szCs w:val="24"/>
        </w:rPr>
        <w:t>.</w:t>
      </w:r>
    </w:p>
    <w:p w14:paraId="59C77E26" w14:textId="77777777" w:rsidR="003F0E15" w:rsidRDefault="00AE77A7" w:rsidP="0028185A">
      <w:pPr>
        <w:spacing w:after="264"/>
        <w:ind w:left="1080" w:hanging="360"/>
        <w:rPr>
          <w:rFonts w:cs="Times New Roman"/>
          <w:bCs/>
          <w:szCs w:val="24"/>
        </w:rPr>
      </w:pPr>
      <w:r>
        <w:rPr>
          <w:rFonts w:cs="Times New Roman"/>
          <w:bCs/>
          <w:szCs w:val="24"/>
        </w:rPr>
        <w:t>—  The “failure to maintain” issue discussed in the context of the “Breach of CC&amp;Rs,” “Negligence,” and “Nuisance” causes of action above is also applicable in the context of a claim for declaratory relief.</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2D42C1A0" w14:textId="56EB2880" w:rsidR="003F0E15" w:rsidRDefault="008B55CB" w:rsidP="00124867">
      <w:pPr>
        <w:spacing w:after="264"/>
        <w:rPr>
          <w:rFonts w:cs="Times New Roman"/>
          <w:bCs/>
          <w:szCs w:val="24"/>
        </w:rPr>
      </w:pPr>
      <w:r>
        <w:rPr>
          <w:rFonts w:cs="Times New Roman"/>
          <w:bCs/>
          <w:szCs w:val="24"/>
        </w:rPr>
        <w:lastRenderedPageBreak/>
        <w:t>If this dispute is adjudicated, the prevailing party will be entitled to attorneys’ fees and costs under the Davis-Stirling Act. I</w:t>
      </w:r>
      <w:r w:rsidR="00C87DA9" w:rsidRPr="00CB094B">
        <w:rPr>
          <w:rFonts w:cs="Times New Roman"/>
          <w:bCs/>
          <w:szCs w:val="24"/>
        </w:rPr>
        <w:t>n addition, the prevailing part</w:t>
      </w:r>
      <w:r w:rsidR="00714E08">
        <w:rPr>
          <w:rFonts w:cs="Times New Roman"/>
          <w:bCs/>
          <w:szCs w:val="24"/>
        </w:rPr>
        <w:t>y</w:t>
      </w:r>
      <w:r w:rsidR="00C87DA9" w:rsidRPr="00CB094B">
        <w:rPr>
          <w:rFonts w:cs="Times New Roman"/>
          <w:bCs/>
          <w:szCs w:val="24"/>
        </w:rPr>
        <w:t xml:space="preserve"> in any such litigation will also be entitled to their attorneys’ fees and costs under </w:t>
      </w:r>
      <w:r>
        <w:rPr>
          <w:rFonts w:cs="Times New Roman"/>
          <w:bCs/>
          <w:szCs w:val="24"/>
        </w:rPr>
        <w:t>Article XIII, Section 13.1(h)</w:t>
      </w:r>
      <w:r w:rsidR="00C87DA9" w:rsidRPr="00CB094B">
        <w:rPr>
          <w:rFonts w:cs="Times New Roman"/>
          <w:bCs/>
          <w:szCs w:val="24"/>
        </w:rPr>
        <w:t xml:space="preserve"> of the CC&amp;Rs.</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794E4D99" w14:textId="534D2691" w:rsidR="00CB4537" w:rsidRDefault="00A31C97" w:rsidP="00CB4537">
      <w:pPr>
        <w:spacing w:after="264"/>
        <w:rPr>
          <w:rFonts w:cs="Times New Roman"/>
          <w:bCs/>
          <w:szCs w:val="24"/>
        </w:rPr>
      </w:pPr>
      <w:r w:rsidRPr="00A31C97">
        <w:rPr>
          <w:rFonts w:cs="Times New Roman"/>
          <w:bCs/>
          <w:szCs w:val="24"/>
        </w:rPr>
        <w:t>Based upon the information/evidence that Client has provided thus far, Client has standing to pursue every cause of action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None at this time.</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Gant v. Creekside Village Maintenance Corp. and Plasencia</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