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7D7A8E" w:rsidP="005C2B5C">
      <w:pPr>
        <w:spacing w:after="264"/>
        <w:jc w:val="center"/>
        <w:rPr>
          <w:rFonts w:cs="Times New Roman"/>
          <w:b/>
          <w:bCs/>
          <w:sz w:val="44"/>
          <w:szCs w:val="44"/>
        </w:rPr>
      </w:pPr>
      <w:r>
        <w:rPr>
          <w:rFonts w:cs="Times New Roman"/>
          <w:b/>
          <w:bCs/>
          <w:sz w:val="44"/>
          <w:szCs w:val="44"/>
        </w:rPr>
        <w:t>Hassibi v. Channing Square Association</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7D7A8E" w:rsidP="00E31A1C">
      <w:pPr>
        <w:spacing w:afterLines="0" w:after="0"/>
        <w:jc w:val="center"/>
        <w:rPr>
          <w:rFonts w:cs="Times New Roman"/>
          <w:sz w:val="28"/>
          <w:szCs w:val="28"/>
        </w:rPr>
      </w:pPr>
      <w:r>
        <w:rPr>
          <w:rFonts w:cs="Times New Roman"/>
          <w:sz w:val="28"/>
          <w:szCs w:val="28"/>
        </w:rPr>
        <w:t>SS</w:t>
      </w:r>
    </w:p>
    <w:p w14:paraId="1B4DFB73" w14:textId="530B82E5"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7D7A8E">
        <w:rPr>
          <w:rFonts w:cs="Times New Roman"/>
          <w:noProof/>
          <w:szCs w:val="24"/>
        </w:rPr>
        <w:t>March 13,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7D7A8E" w:rsidP="00ED2D7D">
      <w:pPr>
        <w:spacing w:after="264"/>
        <w:rPr>
          <w:rFonts w:cs="Times New Roman"/>
          <w:szCs w:val="24"/>
        </w:rPr>
      </w:pPr>
      <w:r>
        <w:rPr>
          <w:rFonts w:cs="Times New Roman"/>
          <w:szCs w:val="24"/>
        </w:rPr>
        <w:t>Client submitted an application to install an AC and has received no response from the HOA for four months. He also reported the leak in his condo and the HOA has not addressed the leak for over a month. He is concerned about the potential conflict of interest of the HOA president who was also his realtor to offer him to purchase the Property below market price.</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7D7A8E" w:rsidP="0054507B">
            <w:pPr>
              <w:spacing w:afterLines="0" w:after="0"/>
              <w:rPr>
                <w:rFonts w:cs="Times New Roman"/>
                <w:sz w:val="20"/>
                <w:szCs w:val="20"/>
              </w:rPr>
            </w:pPr>
            <w:r>
              <w:rPr>
                <w:rFonts w:cs="Times New Roman"/>
                <w:sz w:val="20"/>
                <w:szCs w:val="20"/>
              </w:rPr>
              <w:t>Arjang Hassibi</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7D7A8E" w:rsidP="0054507B">
            <w:pPr>
              <w:spacing w:afterLines="0" w:after="0"/>
              <w:rPr>
                <w:rFonts w:cs="Times New Roman"/>
                <w:sz w:val="20"/>
                <w:szCs w:val="20"/>
              </w:rPr>
            </w:pPr>
            <w:r>
              <w:rPr>
                <w:rFonts w:cs="Times New Roman"/>
                <w:sz w:val="20"/>
                <w:szCs w:val="20"/>
              </w:rPr>
              <w:t>Channing Square Association</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7D7A8E"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7D7A8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r w:rsidR="009A5946" w:rsidRPr="007D7A8E">
        <w:rPr>
          <w:rFonts w:cs="Times New Roman"/>
          <w:bCs/>
          <w:szCs w:val="24"/>
          <w:lang w:val="es-ES"/>
        </w:rPr>
        <w:t xml:space="preserve">Code, § 1354; </w:t>
      </w:r>
      <w:r w:rsidR="009A5946" w:rsidRPr="007D7A8E">
        <w:rPr>
          <w:rFonts w:cs="Times New Roman"/>
          <w:bCs/>
          <w:i/>
          <w:iCs/>
          <w:szCs w:val="24"/>
          <w:lang w:val="es-ES"/>
        </w:rPr>
        <w:t>Villas De Las Palmas Homeowners Ass’n. v. Terifaj</w:t>
      </w:r>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r w:rsidR="005E261D" w:rsidRPr="00FD51C5">
        <w:rPr>
          <w:rFonts w:cs="Times New Roman"/>
          <w:bCs/>
          <w:i/>
          <w:iCs/>
          <w:szCs w:val="24"/>
        </w:rPr>
        <w:t>Branwell v. Kuhle</w:t>
      </w:r>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Bramwell v. Kuhle</w:t>
      </w:r>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TBD</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Soren/McAdam/Bartells</w:t>
      </w:r>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r w:rsidRPr="0028349C">
        <w:rPr>
          <w:rFonts w:cs="Times New Roman"/>
          <w:bCs/>
          <w:i/>
          <w:iCs/>
          <w:szCs w:val="24"/>
        </w:rPr>
        <w:t>Bily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lastRenderedPageBreak/>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City of Atascadero v. Merrill Lynch, Pierce, Fenner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r w:rsidRPr="000358F0">
        <w:rPr>
          <w:rFonts w:cs="Times New Roman"/>
          <w:bCs/>
          <w:i/>
          <w:iCs/>
          <w:szCs w:val="24"/>
        </w:rPr>
        <w:t>Mirkin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Actual reliance is 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r w:rsidR="00685115" w:rsidRPr="000358F0">
        <w:rPr>
          <w:rFonts w:cs="Times New Roman"/>
          <w:bCs/>
          <w:i/>
          <w:iCs/>
          <w:szCs w:val="24"/>
        </w:rPr>
        <w:t>Whiteley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F35489">
        <w:rPr>
          <w:rFonts w:cs="Times New Roman"/>
          <w:bCs/>
          <w:i/>
          <w:iCs/>
          <w:szCs w:val="24"/>
        </w:rPr>
        <w:t>Blankenheim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r w:rsidRPr="003405D9">
        <w:rPr>
          <w:rFonts w:cs="Times New Roman"/>
          <w:bCs/>
          <w:i/>
          <w:iCs/>
          <w:szCs w:val="24"/>
        </w:rPr>
        <w:t>Blankenheim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w:t>
      </w:r>
      <w:r>
        <w:rPr>
          <w:rFonts w:cs="Times New Roman"/>
          <w:bCs/>
          <w:szCs w:val="24"/>
        </w:rPr>
        <w:lastRenderedPageBreak/>
        <w:t>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8"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8"/>
      <w:r w:rsidR="007A1B9E">
        <w:rPr>
          <w:rFonts w:cs="Times New Roman"/>
          <w:bCs/>
          <w:szCs w:val="24"/>
        </w:rPr>
        <w:t xml:space="preserve"> </w:t>
      </w:r>
      <w:bookmarkStart w:id="19"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19"/>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lastRenderedPageBreak/>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235255" w14:textId="77777777" w:rsidR="003F0E15" w:rsidRPr="007D7A8E" w:rsidRDefault="008F6894" w:rsidP="00E13C80">
      <w:pPr>
        <w:pStyle w:val="Heading2"/>
        <w:spacing w:after="264"/>
        <w:rPr>
          <w:lang w:val="fr-FR"/>
        </w:rPr>
      </w:pPr>
      <w:r w:rsidRPr="00274E8F">
        <w:lastRenderedPageBreak/>
        <w:fldChar w:fldCharType="begin"/>
      </w:r>
      <w:r w:rsidRPr="007D7A8E">
        <w:rPr>
          <w:lang w:val="fr-FR"/>
        </w:rPr>
        <w:instrText xml:space="preserve"> LISTNUM LegalDefault \l 2 </w:instrText>
      </w:r>
      <w:r w:rsidRPr="00274E8F">
        <w:fldChar w:fldCharType="end"/>
      </w:r>
      <w:r w:rsidR="007A5F70" w:rsidRPr="007D7A8E">
        <w:rPr>
          <w:lang w:val="fr-FR"/>
        </w:rPr>
        <w:br/>
      </w:r>
      <w:r w:rsidRPr="007D7A8E">
        <w:rPr>
          <w:lang w:val="fr-FR"/>
        </w:rPr>
        <w:t>Negligent Misrepresentation</w:t>
      </w:r>
    </w:p>
    <w:p w14:paraId="5C22204E" w14:textId="77777777" w:rsidR="003F0E15" w:rsidRPr="007D7A8E" w:rsidRDefault="00CB10A8" w:rsidP="00312FCD">
      <w:pPr>
        <w:spacing w:after="264"/>
        <w:rPr>
          <w:rFonts w:cs="Times New Roman"/>
          <w:bCs/>
          <w:szCs w:val="24"/>
          <w:lang w:val="fr-FR"/>
        </w:rPr>
      </w:pPr>
      <w:r w:rsidRPr="007D7A8E">
        <w:rPr>
          <w:rFonts w:cs="Times New Roman"/>
          <w:bCs/>
          <w:szCs w:val="24"/>
          <w:u w:val="single"/>
          <w:lang w:val="fr-FR"/>
        </w:rPr>
        <w:t>Elements</w:t>
      </w:r>
      <w:r w:rsidRPr="007D7A8E">
        <w:rPr>
          <w:rFonts w:cs="Times New Roman"/>
          <w:bCs/>
          <w:szCs w:val="24"/>
          <w:lang w:val="fr-FR"/>
        </w:rPr>
        <w:t>—</w:t>
      </w:r>
      <w:r w:rsidR="00312FCD" w:rsidRPr="007D7A8E">
        <w:rPr>
          <w:rFonts w:cs="Times New Roman"/>
          <w:bCs/>
          <w:szCs w:val="24"/>
          <w:lang w:val="fr-FR"/>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lastRenderedPageBreak/>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r w:rsidR="00F673AB" w:rsidRPr="00F673AB">
        <w:rPr>
          <w:rFonts w:cs="Times New Roman"/>
          <w:bCs/>
          <w:i/>
          <w:iCs/>
          <w:szCs w:val="24"/>
        </w:rPr>
        <w:t>Guz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r w:rsidR="00172659" w:rsidRPr="00001C3C">
        <w:rPr>
          <w:rFonts w:cs="Times New Roman"/>
          <w:bCs/>
          <w:i/>
          <w:iCs/>
          <w:szCs w:val="24"/>
        </w:rPr>
        <w:t>Congleton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r w:rsidR="00172659" w:rsidRPr="00001C3C">
        <w:rPr>
          <w:rFonts w:cs="Times New Roman"/>
          <w:bCs/>
          <w:i/>
          <w:iCs/>
          <w:szCs w:val="24"/>
        </w:rPr>
        <w:t>Badie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r w:rsidRPr="00F504AE">
        <w:rPr>
          <w:rFonts w:cs="Times New Roman"/>
          <w:bCs/>
          <w:i/>
          <w:iCs/>
          <w:szCs w:val="24"/>
        </w:rPr>
        <w:t>Badie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Pr>
          <w:rFonts w:cs="Times New Roman"/>
          <w:bCs/>
          <w:i/>
          <w:iCs/>
          <w:szCs w:val="24"/>
        </w:rPr>
        <w:t>Erlich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Ginsburg v. Gamson</w:t>
      </w:r>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lastRenderedPageBreak/>
        <w:t>—  The “enforcement” issues discussed in the context of the “Breach of CC&amp;Rs” cause of action above is also applicable to a declaratory relief claim.</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TBD</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7D7A8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7D7A8E" w:rsidP="00BA614F">
          <w:pPr>
            <w:pStyle w:val="Footer"/>
            <w:spacing w:after="264"/>
            <w:jc w:val="right"/>
            <w:rPr>
              <w:rFonts w:cs="Times New Roman"/>
              <w:sz w:val="18"/>
              <w:szCs w:val="18"/>
            </w:rPr>
          </w:pPr>
          <w:r>
            <w:rPr>
              <w:rFonts w:cs="Times New Roman"/>
              <w:sz w:val="18"/>
              <w:szCs w:val="18"/>
            </w:rPr>
            <w:t>Hassibi v. Channing Square Association</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712"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107</Pages>
  <Words>28376</Words>
  <Characters>161747</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