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Smithson v. California Meadows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SE</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
          Clients have owned the real property located at 1440 E. Santa Clara Avenue, Santa Ana, California 92705 (the "Property") for several years. 
          <w:br/>
          <w:br/>
          Clients previously had a tenant occupying the Property. This tenant never informed Clients that the HOA’s common area trees were encroaching onto and damaging the Property. Namely, the patio area in the rear of the Property had sustained damage (e.g., lifting concrete) and Clients noticed that the tree roots had entered into their bathroom plumbing system. 
          <w:br/>
          <w:br/>
          They wanted to initiate legal proceedings after the HOA refused to remove the trees and pay for the damage caused by the invasive tree roots. The HOA has contended that they are not responsible for the damage to the Property because they were not negligent.
          <w:br/>
          <w:br/>
          Clients have viable claims against the HOA for the following:
          <w:br/>
          <w:br/>
          (i) breach of the governing documents;
          <w:br/>
          (ii) breach of fiduciary duty;
          <w:br/>
          (iii) nuisance;
          <w:br/>
          (iv) negligence; 
          <w:br/>
          (v) trespass; and 
          <w:br/>
          (vi) declaratory relief.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Drew and Lecia Smithson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California Meadows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XVIII, Section 1(b)</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XVIII, Section 10</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Smithson v. California Meadows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