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Murray v. Fontana Village HOA and Boyzo</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has owned the real property located at 7897 Juniper Avenue, Unit B, Fontana, CA 92336 (the "Property") since 2015. When he first purchased the Property, Client had a tenant there. Due to the HOA’s lack of enforcement of the governing documents, the tenant had various complaints about nuisance from neighbors, including Abel Boyzo and family members who resided with him at Unit B, which is nextdoor to the Property. Eventually, Client’s tenant moved out and Client moved into the Property. The issues with Boyzo and residents at his unit continued. These individuals threatened Client and interfered with his quiet use and enjoyment of the Property. 
          <w:br/>
          <w:br/>
          Despite multiple reports from Client and other HOA members, the HOA failed to take any corrective action. And then, when Client started asking questions about the HOA’s books and records, the HOA stopped conducting open session board meetings and elections. Since COVID, at least two years, the HOA has not held an election. 
          <w:br/>
          <w:br/>
          Consequently, Client has viable claims against the HOA for the following: 
          <w:br/>
          <w:br/>
          (i) breach of the HOA’s governing documents
          <w:br/>
          (ii) breach of fiduciary duty
          <w:br/>
          (iii) nuisance
          <w:br/>
          (iv) violation of Open Meeting Act
          <w:br/>
          (v) violation of election laws
          <w:br/>
          <w:br/>
          Client has viable claims against Boyzo for the following:
          <w:br/>
          <w:br/>
          (i) breach of the governing documents
          <w:br/>
          (ii)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John Murray</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Fontana Village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Abel Boyzo ("Boyzo")</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Murray v. Fontana Village HOA and Boyzo</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