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E679A1" w:rsidP="005C2B5C">
      <w:pPr>
        <w:spacing w:after="264"/>
        <w:jc w:val="center"/>
        <w:rPr>
          <w:rFonts w:cs="Times New Roman"/>
          <w:b/>
          <w:bCs/>
          <w:sz w:val="44"/>
          <w:szCs w:val="44"/>
        </w:rPr>
      </w:pPr>
      <w:r>
        <w:rPr>
          <w:rFonts w:cs="Times New Roman"/>
          <w:b/>
          <w:bCs/>
          <w:sz w:val="44"/>
          <w:szCs w:val="44"/>
        </w:rPr>
        <w:t>Avalos and Workman v. Harbor Winds #2</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E679A1" w:rsidP="00E31A1C">
      <w:pPr>
        <w:spacing w:afterLines="0" w:after="0"/>
        <w:jc w:val="center"/>
        <w:rPr>
          <w:rFonts w:cs="Times New Roman"/>
          <w:sz w:val="28"/>
          <w:szCs w:val="28"/>
        </w:rPr>
      </w:pPr>
      <w:r>
        <w:rPr>
          <w:rFonts w:cs="Times New Roman"/>
          <w:sz w:val="28"/>
          <w:szCs w:val="28"/>
        </w:rPr>
        <w:t>SE</w:t>
      </w:r>
    </w:p>
    <w:p w14:paraId="1B4DFB73" w14:textId="0F3847DD"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5D0881">
        <w:rPr>
          <w:rFonts w:cs="Times New Roman"/>
          <w:noProof/>
          <w:szCs w:val="24"/>
        </w:rPr>
        <w:t>November 21, 2024</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E679A1" w:rsidP="00ED2D7D">
      <w:pPr>
        <w:spacing w:after="264"/>
        <w:rPr>
          <w:rFonts w:cs="Times New Roman"/>
          <w:szCs w:val="24"/>
        </w:rPr>
      </w:pPr>
      <w:r>
        <w:rPr>
          <w:rFonts w:cs="Times New Roman"/>
          <w:szCs w:val="24"/>
        </w:rPr>
        <w:t>
          Clients are the owners of the real property located at 2115 Ohio Avenue, Unit C, Signal Hill, CA 90755 (the "Property"), one of seven condominiums at the HOA. 
          <w:br/>
          <w:br/>
          Client David Workman is currently the HOA President. He has agreed to recuse himself from all discussions and board decisions regarding this dispute. 
          <w:br/>
          <w:br/>
          Clients sought legal representation after other board members and some non-board members accused Clients of causing damage that will purportedly cost the HOA hundreds of thousands of dollars to repair. Those other members contend that Clients overwatered planters on their balcony and that over the years, this caused enough water to saturate the balcony at the Property and several other balconies. They claim that the majority of the damage to the HOA balconies was either caused by or heavily contributed by Clients’ alleged usage of their balcony. But these other HOA members have been unable to produce any evidence supporting their theory. 
          <w:br/>
          <w:br/>
          Clients seek to enforce their rights against the above accusations and reach an amicable resolution with the HOA regarding the assessment of costs for the anticipated balcony repairs.
        </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123934" w:rsidRPr="007C6F41" w14:paraId="2EB40307" w14:textId="77777777" w:rsidTr="00BD63FA">
        <w:trPr>
          <w:trHeight w:val="827"/>
        </w:trPr>
        <w:tc>
          <w:tcPr>
            <w:tcW w:w="5215" w:type="dxa"/>
            <w:shd w:val="clear" w:color="auto" w:fill="BDD6EE" w:themeFill="accent1" w:themeFillTint="66"/>
            <w:vAlign w:val="center"/>
          </w:tcPr>
          <w:p w14:paraId="002C3430" w14:textId="77777777" w:rsidR="00123934" w:rsidRPr="007C6F41" w:rsidRDefault="00123934" w:rsidP="0054507B">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3C05344B" w14:textId="5A65889F" w:rsidR="00123934" w:rsidRPr="007C6F41" w:rsidRDefault="00B71E52" w:rsidP="0054507B">
            <w:pPr>
              <w:spacing w:afterLines="0" w:after="0"/>
              <w:rPr>
                <w:rFonts w:cs="Times New Roman"/>
                <w:b/>
              </w:rPr>
            </w:pPr>
            <w:r w:rsidRPr="007C6F41">
              <w:rPr>
                <w:rFonts w:cs="Times New Roman"/>
                <w:b/>
              </w:rPr>
              <w:t>Significance to Underlying Matter/Dispute</w:t>
            </w:r>
          </w:p>
        </w:tc>
      </w:tr>
      <w:tr w:rsidR="00123934" w:rsidRPr="007C6F41" w14:paraId="686DFDC4" w14:textId="77777777" w:rsidTr="00175012">
        <w:trPr>
          <w:trHeight w:val="1070"/>
        </w:trPr>
        <w:tc>
          <w:tcPr>
            <w:tcW w:w="5215" w:type="dxa"/>
            <w:vAlign w:val="center"/>
          </w:tcPr>
          <w:p w14:paraId="34958886" w14:textId="42A5E3A7" w:rsidR="00C27455" w:rsidRPr="007C6F41" w:rsidRDefault="00E679A1" w:rsidP="0054507B">
            <w:pPr>
              <w:spacing w:afterLines="0" w:after="0"/>
              <w:rPr>
                <w:rFonts w:cs="Times New Roman"/>
                <w:sz w:val="20"/>
                <w:szCs w:val="20"/>
              </w:rPr>
            </w:pPr>
            <w:r>
              <w:rPr>
                <w:rFonts w:cs="Times New Roman"/>
                <w:sz w:val="20"/>
                <w:szCs w:val="20"/>
              </w:rPr>
              <w:t>Eddie Avalos and David Workman</w:t>
            </w:r>
            <w:r w:rsidR="006C37BD">
              <w:rPr>
                <w:rFonts w:cs="Times New Roman"/>
                <w:sz w:val="20"/>
                <w:szCs w:val="20"/>
              </w:rPr>
              <w:t xml:space="preserve"> (“Client”)</w:t>
            </w:r>
          </w:p>
        </w:tc>
        <w:tc>
          <w:tcPr>
            <w:tcW w:w="5490" w:type="dxa"/>
            <w:vAlign w:val="center"/>
          </w:tcPr>
          <w:p w14:paraId="02C2978B" w14:textId="77777777" w:rsidR="00EC6A14" w:rsidRPr="007C6F41" w:rsidRDefault="00EC6A14" w:rsidP="0054507B">
            <w:pPr>
              <w:spacing w:afterLines="0" w:after="0"/>
              <w:rPr>
                <w:rFonts w:cs="Times New Roman"/>
                <w:sz w:val="20"/>
                <w:szCs w:val="20"/>
              </w:rPr>
            </w:pPr>
          </w:p>
          <w:p w14:paraId="657295A6" w14:textId="1E717C84" w:rsidR="005254A1" w:rsidRPr="007C6F41" w:rsidRDefault="005254A1" w:rsidP="0054507B">
            <w:pPr>
              <w:spacing w:afterLines="0" w:after="0"/>
              <w:rPr>
                <w:rFonts w:cs="Times New Roman"/>
                <w:sz w:val="20"/>
                <w:szCs w:val="20"/>
              </w:rPr>
            </w:pPr>
            <w:r w:rsidRPr="007C6F41">
              <w:rPr>
                <w:rFonts w:cs="Times New Roman"/>
                <w:sz w:val="20"/>
                <w:szCs w:val="20"/>
              </w:rPr>
              <w:t>Client</w:t>
            </w:r>
            <w:r w:rsidR="005057AA" w:rsidRPr="007C6F41">
              <w:rPr>
                <w:rFonts w:cs="Times New Roman"/>
                <w:sz w:val="20"/>
                <w:szCs w:val="20"/>
              </w:rPr>
              <w:t xml:space="preserve"> / HOA Member</w:t>
            </w:r>
          </w:p>
          <w:p w14:paraId="7FAB4473" w14:textId="26249B9D" w:rsidR="004D6471" w:rsidRPr="007C6F41" w:rsidRDefault="004D6471" w:rsidP="0054507B">
            <w:pPr>
              <w:spacing w:afterLines="0" w:after="0"/>
              <w:rPr>
                <w:rFonts w:cs="Times New Roman"/>
                <w:sz w:val="20"/>
                <w:szCs w:val="20"/>
              </w:rPr>
            </w:pPr>
          </w:p>
        </w:tc>
      </w:tr>
      <w:tr w:rsidR="00E4074A" w:rsidRPr="0076627F" w14:paraId="16D92C83" w14:textId="77777777" w:rsidTr="00175012">
        <w:trPr>
          <w:trHeight w:val="926"/>
        </w:trPr>
        <w:tc>
          <w:tcPr>
            <w:tcW w:w="5215" w:type="dxa"/>
            <w:vAlign w:val="center"/>
          </w:tcPr>
          <w:p w14:paraId="24F6A6A9" w14:textId="2CF9E76E" w:rsidR="00E4074A" w:rsidRPr="007C6F41" w:rsidRDefault="00E679A1" w:rsidP="0054507B">
            <w:pPr>
              <w:spacing w:afterLines="0" w:after="0"/>
              <w:rPr>
                <w:rFonts w:cs="Times New Roman"/>
                <w:sz w:val="20"/>
                <w:szCs w:val="20"/>
              </w:rPr>
            </w:pPr>
            <w:r>
              <w:rPr>
                <w:rFonts w:cs="Times New Roman"/>
                <w:sz w:val="20"/>
                <w:szCs w:val="20"/>
              </w:rPr>
              <w:t>Harbor Winds #2 Condominium Owners Association ("HOA")</w:t>
            </w:r>
            <w:r w:rsidR="006C37BD">
              <w:rPr>
                <w:rFonts w:cs="Times New Roman"/>
                <w:sz w:val="20"/>
                <w:szCs w:val="20"/>
              </w:rPr>
              <w:t xml:space="preserve"> </w:t>
            </w:r>
          </w:p>
        </w:tc>
        <w:tc>
          <w:tcPr>
            <w:tcW w:w="5490" w:type="dxa"/>
            <w:vAlign w:val="center"/>
          </w:tcPr>
          <w:p w14:paraId="6CC206BC" w14:textId="77777777" w:rsidR="00EC6A14" w:rsidRPr="007C6F41" w:rsidRDefault="00EC6A14" w:rsidP="0054507B">
            <w:pPr>
              <w:spacing w:afterLines="0" w:after="0"/>
              <w:rPr>
                <w:rFonts w:cs="Times New Roman"/>
                <w:sz w:val="20"/>
                <w:szCs w:val="20"/>
              </w:rPr>
            </w:pPr>
          </w:p>
          <w:p w14:paraId="73D5715E" w14:textId="1EA8B76C" w:rsidR="00E4074A" w:rsidRPr="007C6F41" w:rsidRDefault="00E679A1" w:rsidP="0054507B">
            <w:pPr>
              <w:spacing w:afterLines="0" w:after="0"/>
              <w:rPr>
                <w:rFonts w:cs="Times New Roman"/>
                <w:sz w:val="20"/>
                <w:szCs w:val="20"/>
              </w:rPr>
            </w:pPr>
            <w:r>
              <w:rPr>
                <w:rFonts w:cs="Times New Roman"/>
                <w:sz w:val="20"/>
                <w:szCs w:val="20"/>
              </w:rPr>
              <w:t>HOA</w:t>
            </w:r>
          </w:p>
          <w:p w14:paraId="25646090" w14:textId="5E1C0415" w:rsidR="004D6471" w:rsidRPr="007C6F41" w:rsidRDefault="004D6471" w:rsidP="0054507B">
            <w:pPr>
              <w:spacing w:afterLines="0" w:after="0"/>
              <w:rPr>
                <w:rFonts w:cs="Times New Roman"/>
                <w:sz w:val="20"/>
                <w:szCs w:val="20"/>
              </w:rPr>
            </w:pPr>
          </w:p>
        </w:tc>
      </w:tr>
    </w:tbl>
    <w:p w14:paraId="7A9705E0" w14:textId="3AEDD46D"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040F7531" w14:textId="0494B0BB" w:rsidR="00E94B60" w:rsidRDefault="00E94B60" w:rsidP="00CD069B">
      <w:pPr>
        <w:pStyle w:val="NormalEnd"/>
        <w:spacing w:after="264"/>
        <w:rPr>
          <w:rStyle w:val="property1"/>
          <w:rFonts w:eastAsia="Times New Roman" w:cs="Times New Roman"/>
          <w:szCs w:val="24"/>
        </w:rPr>
      </w:pPr>
      <w:r>
        <w:t>Although a Civil Code section 5200 demand went out, the HOA has not yet produced the documents. Once that occurs, the Firm will complete a thorough review of those documents to determine whether any that should’ve been produced are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6B7BE2EA" w14:textId="63A56741" w:rsidR="0076752F" w:rsidRDefault="00D00717" w:rsidP="0038079C">
      <w:pPr>
        <w:pStyle w:val="NormalEnd"/>
        <w:spacing w:after="264"/>
      </w:pPr>
      <w:r>
        <w:t>None at the moment.</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100174E9" w14:textId="798B313D" w:rsidR="008213B1" w:rsidRPr="00E13C80" w:rsidRDefault="008213B1" w:rsidP="0038079C">
      <w:pPr>
        <w:pStyle w:val="Heading1"/>
        <w:spacing w:after="264"/>
      </w:pPr>
      <w:r w:rsidRPr="00803DB4">
        <w:fldChar w:fldCharType="begin"/>
      </w:r>
      <w:r w:rsidR="0038079C">
        <w:instrText xml:space="preserve"> LISTNUM LegalDefault \l 1 </w:instrText>
      </w:r>
      <w:r w:rsidRPr="00803DB4">
        <w:fldChar w:fldCharType="end"/>
      </w:r>
      <w:r w:rsidR="00E13C80">
        <w:br/>
      </w:r>
      <w:r w:rsidRPr="00E13C80">
        <w:t>Must NOT Use HOA’s Privileged Documents</w:t>
      </w:r>
    </w:p>
    <w:p w14:paraId="3E351572" w14:textId="5534B295" w:rsidR="008213B1" w:rsidRPr="00803DB4" w:rsidRDefault="00DC6214" w:rsidP="008213B1">
      <w:pPr>
        <w:spacing w:after="264"/>
        <w:rPr>
          <w:rFonts w:cs="Times New Roman"/>
          <w:color w:val="0070C0"/>
          <w:szCs w:val="24"/>
        </w:rPr>
      </w:pPr>
      <w:r w:rsidRPr="00803DB4">
        <w:rPr>
          <w:rFonts w:cs="Times New Roman"/>
          <w:color w:val="0070C0"/>
          <w:szCs w:val="24"/>
        </w:rPr>
        <w:t>If</w:t>
      </w:r>
      <w:r w:rsidR="008213B1" w:rsidRPr="00803DB4">
        <w:rPr>
          <w:rFonts w:cs="Times New Roman"/>
          <w:color w:val="0070C0"/>
          <w:szCs w:val="24"/>
        </w:rPr>
        <w:t xml:space="preserve"> Client provides the Firm with documents that appear to be privileged (HOA’s attorney-client privilege)—e.g., communications/opinions between the HOA’s prior attorneys and the Board, etc.—such documents:</w:t>
      </w:r>
    </w:p>
    <w:p w14:paraId="161E07A3"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May not be cited, or even </w:t>
      </w:r>
      <w:r w:rsidRPr="00803DB4">
        <w:rPr>
          <w:rFonts w:cs="Times New Roman"/>
          <w:i/>
          <w:iCs/>
          <w:color w:val="0070C0"/>
          <w:szCs w:val="24"/>
        </w:rPr>
        <w:t>referenced</w:t>
      </w:r>
      <w:r w:rsidRPr="00803DB4">
        <w:rPr>
          <w:rFonts w:cs="Times New Roman"/>
          <w:color w:val="0070C0"/>
          <w:szCs w:val="24"/>
        </w:rPr>
        <w:t xml:space="preserve">, at all during the pre-litigation or litigation phases of the cases. </w:t>
      </w:r>
    </w:p>
    <w:p w14:paraId="3F08159B" w14:textId="77777777" w:rsidR="008213B1" w:rsidRPr="00803DB4" w:rsidRDefault="008213B1" w:rsidP="008213B1">
      <w:pPr>
        <w:spacing w:after="264"/>
        <w:ind w:left="720"/>
        <w:rPr>
          <w:rFonts w:cs="Times New Roman"/>
          <w:b/>
          <w:bCs/>
          <w:color w:val="0070C0"/>
          <w:szCs w:val="24"/>
        </w:rPr>
      </w:pPr>
      <w:r w:rsidRPr="00803DB4">
        <w:rPr>
          <w:rFonts w:cs="Times New Roman"/>
          <w:color w:val="0070C0"/>
          <w:szCs w:val="24"/>
        </w:rPr>
        <w:t>—  Must be stored in a separate folder in “Client Docs” called “</w:t>
      </w:r>
      <w:r w:rsidRPr="00803DB4">
        <w:rPr>
          <w:rFonts w:cs="Times New Roman"/>
          <w:color w:val="0070C0"/>
          <w:szCs w:val="24"/>
          <w:u w:val="single"/>
        </w:rPr>
        <w:t>HOA Privileged Docs.</w:t>
      </w:r>
      <w:r w:rsidRPr="00803DB4">
        <w:rPr>
          <w:rFonts w:cs="Times New Roman"/>
          <w:color w:val="0070C0"/>
          <w:szCs w:val="24"/>
        </w:rPr>
        <w:t>”</w:t>
      </w:r>
    </w:p>
    <w:p w14:paraId="7391B25E" w14:textId="784C1C7F" w:rsidR="008213B1" w:rsidRPr="00803DB4" w:rsidRDefault="008213B1" w:rsidP="008213B1">
      <w:pPr>
        <w:spacing w:after="264"/>
        <w:rPr>
          <w:rFonts w:cs="Times New Roman"/>
          <w:color w:val="0070C0"/>
          <w:szCs w:val="24"/>
        </w:rPr>
      </w:pPr>
      <w:r w:rsidRPr="00803DB4">
        <w:rPr>
          <w:rFonts w:cs="Times New Roman"/>
          <w:color w:val="0070C0"/>
          <w:szCs w:val="24"/>
        </w:rPr>
        <w:t>Because Client was a member of the HOA’s board</w:t>
      </w:r>
      <w:r w:rsidR="00EA2ED6">
        <w:rPr>
          <w:rFonts w:cs="Times New Roman"/>
          <w:color w:val="0070C0"/>
          <w:szCs w:val="24"/>
        </w:rPr>
        <w:t>, or otherwise obtained access to documents supplied by a board member,</w:t>
      </w:r>
      <w:r w:rsidRPr="00803DB4">
        <w:rPr>
          <w:rFonts w:cs="Times New Roman"/>
          <w:color w:val="0070C0"/>
          <w:szCs w:val="24"/>
        </w:rPr>
        <w:t xml:space="preserve"> it’s very likely that Client possesses documents that are protected from disclosure by the attorney-client privilege (the HOA’s). This raises three important issues: (i) can Client waive the attorney-client </w:t>
      </w:r>
      <w:r w:rsidRPr="00803DB4">
        <w:rPr>
          <w:rFonts w:cs="Times New Roman"/>
          <w:color w:val="0070C0"/>
          <w:szCs w:val="24"/>
        </w:rPr>
        <w:lastRenderedPageBreak/>
        <w:t xml:space="preserve">privilege on behalf of the HOA; (ii) does the CRPC mandate the Firm to return the privileged docs; and (iii) does Client violate his or her fiduciary duty to the HOA by providing the privileged docs to the Firm? </w:t>
      </w:r>
    </w:p>
    <w:p w14:paraId="14B951CF" w14:textId="10686D0E" w:rsidR="008213B1" w:rsidRPr="00E13C80" w:rsidRDefault="005034A2" w:rsidP="009E43CE">
      <w:pPr>
        <w:pStyle w:val="Heading2"/>
        <w:spacing w:after="264"/>
      </w:pPr>
      <w:r w:rsidRPr="00803DB4">
        <w:fldChar w:fldCharType="begin"/>
      </w:r>
      <w:r w:rsidR="009E43CE">
        <w:instrText xml:space="preserve"> LISTNUM LegalDefault \l 2 </w:instrText>
      </w:r>
      <w:r w:rsidRPr="00803DB4">
        <w:fldChar w:fldCharType="end"/>
      </w:r>
      <w:r w:rsidR="00E13C80">
        <w:br/>
      </w:r>
      <w:r w:rsidR="008213B1" w:rsidRPr="00E13C80">
        <w:t>Can Client Waive the Privilege?</w:t>
      </w:r>
    </w:p>
    <w:p w14:paraId="7C6F91F9"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Where the client is a corporation, it alone (through its officers and directors) is the holder of the privilege and it alone may waive the privilege. (</w:t>
      </w:r>
      <w:r w:rsidRPr="00803DB4">
        <w:rPr>
          <w:rFonts w:cs="Times New Roman"/>
          <w:i/>
          <w:iCs/>
          <w:color w:val="0070C0"/>
          <w:szCs w:val="24"/>
        </w:rPr>
        <w:t>Titmas v. Sup.Ct. (Iavarone)</w:t>
      </w:r>
      <w:r w:rsidRPr="00803DB4">
        <w:rPr>
          <w:rFonts w:cs="Times New Roman"/>
          <w:color w:val="0070C0"/>
          <w:szCs w:val="24"/>
        </w:rPr>
        <w:t xml:space="preserve"> (2001) 87 Cal.App.4th 738, fn. 1.) </w:t>
      </w:r>
    </w:p>
    <w:p w14:paraId="351E2C47" w14:textId="142D97DC"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authority to waive the attorney-client privilege rests with the corporation’s officers and directors. When control of the corporation passes to new people, so too does the authority to assert or waive the privilege. (</w:t>
      </w:r>
      <w:r w:rsidRPr="00803DB4">
        <w:rPr>
          <w:rFonts w:cs="Times New Roman"/>
          <w:i/>
          <w:iCs/>
          <w:color w:val="0070C0"/>
          <w:szCs w:val="24"/>
        </w:rPr>
        <w:t>Commodity Futures Trading Com’n v. Weintraub</w:t>
      </w:r>
      <w:r w:rsidRPr="00803DB4">
        <w:rPr>
          <w:rFonts w:cs="Times New Roman"/>
          <w:color w:val="0070C0"/>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00426749" w:rsidRPr="00803DB4">
        <w:rPr>
          <w:rFonts w:cs="Times New Roman"/>
          <w:i/>
          <w:iCs/>
          <w:color w:val="0070C0"/>
          <w:szCs w:val="24"/>
        </w:rPr>
        <w:t>Id</w:t>
      </w:r>
      <w:r w:rsidR="00CE6D37" w:rsidRPr="00803DB4">
        <w:rPr>
          <w:rFonts w:cs="Times New Roman"/>
          <w:i/>
          <w:iCs/>
          <w:color w:val="0070C0"/>
          <w:szCs w:val="24"/>
        </w:rPr>
        <w:t>.</w:t>
      </w:r>
      <w:r w:rsidR="00713014" w:rsidRPr="00803DB4">
        <w:rPr>
          <w:rFonts w:cs="Times New Roman"/>
          <w:i/>
          <w:iCs/>
          <w:color w:val="0070C0"/>
          <w:szCs w:val="24"/>
        </w:rPr>
        <w:t xml:space="preserve"> at</w:t>
      </w:r>
      <w:r w:rsidRPr="00803DB4">
        <w:rPr>
          <w:rFonts w:cs="Times New Roman"/>
          <w:color w:val="0070C0"/>
          <w:szCs w:val="24"/>
        </w:rPr>
        <w:t xml:space="preserve"> 349.) A former director has no power to assert or waive the corporation’s privilege, and a former officer cannot assert the protection if the corporation as waived it. (</w:t>
      </w:r>
      <w:r w:rsidR="00426749" w:rsidRPr="00803DB4">
        <w:rPr>
          <w:rFonts w:cs="Times New Roman"/>
          <w:i/>
          <w:color w:val="0070C0"/>
          <w:szCs w:val="24"/>
        </w:rPr>
        <w:t>Ibid</w:t>
      </w:r>
      <w:r w:rsidRPr="00803DB4">
        <w:rPr>
          <w:rFonts w:cs="Times New Roman"/>
          <w:color w:val="0070C0"/>
          <w:szCs w:val="24"/>
        </w:rPr>
        <w:t>.)</w:t>
      </w:r>
    </w:p>
    <w:p w14:paraId="3CE9BEB9"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HOA may waive the privilege, but in cases where two or more people are joint holders of a privilege, the waiver of that privilege by one does NOT affect the rights of the other(s) to claim the privilege. (</w:t>
      </w:r>
      <w:r w:rsidRPr="00803DB4">
        <w:rPr>
          <w:rFonts w:cs="Times New Roman"/>
          <w:i/>
          <w:iCs/>
          <w:color w:val="0070C0"/>
          <w:szCs w:val="24"/>
        </w:rPr>
        <w:t>American Mut. Liab. Ins. Co v. Superior Court</w:t>
      </w:r>
      <w:r w:rsidRPr="00803DB4">
        <w:rPr>
          <w:rFonts w:cs="Times New Roman"/>
          <w:color w:val="0070C0"/>
          <w:szCs w:val="24"/>
        </w:rPr>
        <w:t xml:space="preserve"> (1974) 38 Cal.App.3d 579; Ev. Code, §912b.)</w:t>
      </w:r>
    </w:p>
    <w:p w14:paraId="26FF80CC" w14:textId="41FCDB5D" w:rsidR="008213B1" w:rsidRPr="00803DB4" w:rsidRDefault="005034A2" w:rsidP="00E13C80">
      <w:pPr>
        <w:pStyle w:val="Heading3"/>
        <w:spacing w:after="264"/>
        <w:rPr>
          <w:color w:val="0070C0"/>
        </w:rPr>
      </w:pPr>
      <w:r w:rsidRPr="009E43CE">
        <w:rPr>
          <w:rStyle w:val="Heading2Char"/>
        </w:rPr>
        <w:fldChar w:fldCharType="begin"/>
      </w:r>
      <w:r w:rsidR="009E43CE">
        <w:rPr>
          <w:rStyle w:val="Heading2Char"/>
        </w:rPr>
        <w:instrText xml:space="preserve"> LISTNUM LegalDefault \l 2 </w:instrText>
      </w:r>
      <w:r w:rsidRPr="009E43CE">
        <w:rPr>
          <w:rStyle w:val="Heading2Char"/>
        </w:rPr>
        <w:fldChar w:fldCharType="end"/>
      </w:r>
      <w:r w:rsidR="00E83507">
        <w:br/>
      </w:r>
      <w:r w:rsidR="008213B1" w:rsidRPr="009E43CE">
        <w:rPr>
          <w:rStyle w:val="Heading2Char"/>
        </w:rPr>
        <w:t>Does the CRPC Require the Firm to Return the Privileged Documents?</w:t>
      </w:r>
    </w:p>
    <w:p w14:paraId="2B0EA54C"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CRPC 4.4 requires attorneys to return privileged documents that were “inadvertently sent or produced.” CRPC 4.4, however, does </w:t>
      </w:r>
      <w:r w:rsidRPr="00803DB4">
        <w:rPr>
          <w:rFonts w:cs="Times New Roman"/>
          <w:i/>
          <w:iCs/>
          <w:color w:val="0070C0"/>
          <w:szCs w:val="24"/>
        </w:rPr>
        <w:t>not</w:t>
      </w:r>
      <w:r w:rsidRPr="00803DB4">
        <w:rPr>
          <w:rFonts w:cs="Times New Roman"/>
          <w:color w:val="0070C0"/>
          <w:szCs w:val="24"/>
        </w:rPr>
        <w:t xml:space="preserve"> seem to apply. Not only did Client intentionally produce the documents to the Firm, but Client had a valid right to receive the documents in the first place. Notwithstanding that fact, for now the Firm doesn’t believe it’s wise to rest on technicalities when dealing with the ethical rules. </w:t>
      </w:r>
    </w:p>
    <w:p w14:paraId="42E39F20"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803DB4">
        <w:rPr>
          <w:rFonts w:cs="Times New Roman"/>
          <w:i/>
          <w:iCs/>
          <w:color w:val="0070C0"/>
          <w:szCs w:val="24"/>
        </w:rPr>
        <w:t>Clark v. Superior Court</w:t>
      </w:r>
      <w:r w:rsidRPr="00803DB4">
        <w:rPr>
          <w:rFonts w:cs="Times New Roman"/>
          <w:color w:val="0070C0"/>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w:t>
      </w:r>
      <w:r w:rsidRPr="00803DB4">
        <w:rPr>
          <w:rFonts w:cs="Times New Roman"/>
          <w:color w:val="0070C0"/>
          <w:szCs w:val="24"/>
        </w:rPr>
        <w:lastRenderedPageBreak/>
        <w:t>more than is essential to ascertain if the materials are privileged, and (2) immediately notify the sender that he or she possesses material that appears to be privileged.</w:t>
      </w:r>
    </w:p>
    <w:p w14:paraId="40FDF074"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w:t>
      </w:r>
      <w:r w:rsidRPr="00803DB4">
        <w:rPr>
          <w:rFonts w:cs="Times New Roman"/>
          <w:i/>
          <w:iCs/>
          <w:color w:val="0070C0"/>
          <w:szCs w:val="24"/>
        </w:rPr>
        <w:t xml:space="preserve">Keep in mind that in Clark, the court disqualified the attorney in question </w:t>
      </w:r>
      <w:r w:rsidRPr="00803DB4">
        <w:rPr>
          <w:rFonts w:cs="Times New Roman"/>
          <w:color w:val="0070C0"/>
          <w:szCs w:val="24"/>
        </w:rPr>
        <w:t>(who represented an employee of a company) for excessively reviewing the employer’s (i.e., the opposing side’s) privileged materials,</w:t>
      </w:r>
      <w:r w:rsidRPr="00803DB4">
        <w:rPr>
          <w:rFonts w:cs="Times New Roman"/>
          <w:i/>
          <w:iCs/>
          <w:color w:val="0070C0"/>
          <w:szCs w:val="24"/>
        </w:rPr>
        <w:t xml:space="preserve"> despite the fact that (a) the employee intentionally transmitted the documents to the attorney, and (b) the employee had a right to receive the privileged materials during the course of his employment</w:t>
      </w:r>
      <w:r w:rsidRPr="00803DB4">
        <w:rPr>
          <w:rFonts w:cs="Times New Roman"/>
          <w:color w:val="0070C0"/>
          <w:szCs w:val="24"/>
        </w:rPr>
        <w:t>. This is precisely the scenario that we’re facing.</w:t>
      </w:r>
    </w:p>
    <w:p w14:paraId="05197B7F"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While there are some distinguishing facts in </w:t>
      </w:r>
      <w:r w:rsidRPr="00803DB4">
        <w:rPr>
          <w:rFonts w:cs="Times New Roman"/>
          <w:i/>
          <w:iCs/>
          <w:color w:val="0070C0"/>
          <w:szCs w:val="24"/>
        </w:rPr>
        <w:t>Clark</w:t>
      </w:r>
      <w:r w:rsidRPr="00803DB4">
        <w:rPr>
          <w:rFonts w:cs="Times New Roman"/>
          <w:color w:val="0070C0"/>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3FB6EC4C"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Firm has, therefore, decided to proceed with caution at the current time, at least until and unless further research calls for a different take on the issue.</w:t>
      </w:r>
    </w:p>
    <w:p w14:paraId="30855D17" w14:textId="14118A69" w:rsidR="008213B1" w:rsidRPr="00803DB4" w:rsidRDefault="00691D64" w:rsidP="009E43CE">
      <w:pPr>
        <w:pStyle w:val="Heading2"/>
        <w:spacing w:after="264"/>
        <w:rPr>
          <w:color w:val="0070C0"/>
        </w:rPr>
      </w:pPr>
      <w:r w:rsidRPr="00803DB4">
        <w:fldChar w:fldCharType="begin"/>
      </w:r>
      <w:r w:rsidR="009E43CE">
        <w:instrText xml:space="preserve"> LISTNUM LegalDefault \l 2 </w:instrText>
      </w:r>
      <w:r w:rsidRPr="00803DB4">
        <w:fldChar w:fldCharType="end"/>
      </w:r>
      <w:r w:rsidR="00E83507">
        <w:br/>
      </w:r>
      <w:r w:rsidR="008213B1" w:rsidRPr="00803DB4">
        <w:t xml:space="preserve">Does </w:t>
      </w:r>
      <w:r w:rsidRPr="00803DB4">
        <w:t>Providing Privileged Documents to the Firm Constitute a Fiduciary Breach by Client?</w:t>
      </w:r>
    </w:p>
    <w:p w14:paraId="7A64C87E" w14:textId="0D4E5B76" w:rsidR="00D01572" w:rsidRDefault="008213B1" w:rsidP="00D01572">
      <w:pPr>
        <w:spacing w:after="264"/>
        <w:ind w:left="1080" w:hanging="360"/>
        <w:rPr>
          <w:rFonts w:cs="Times New Roman"/>
          <w:color w:val="0070C0"/>
          <w:szCs w:val="24"/>
        </w:rPr>
      </w:pPr>
      <w:r w:rsidRPr="00803DB4">
        <w:rPr>
          <w:rFonts w:cs="Times New Roman"/>
          <w:color w:val="0070C0"/>
          <w:szCs w:val="24"/>
        </w:rPr>
        <w:t xml:space="preserve">—  The Firm is in the process of completing research on this issue, but it </w:t>
      </w:r>
      <w:r w:rsidRPr="00803DB4">
        <w:rPr>
          <w:rFonts w:cs="Times New Roman"/>
          <w:i/>
          <w:iCs/>
          <w:color w:val="0070C0"/>
          <w:szCs w:val="24"/>
        </w:rPr>
        <w:t>appears</w:t>
      </w:r>
      <w:r w:rsidRPr="00803DB4">
        <w:rPr>
          <w:rFonts w:cs="Times New Roman"/>
          <w:color w:val="0070C0"/>
          <w:szCs w:val="24"/>
        </w:rPr>
        <w:t xml:space="preserve"> that the answer is yes—former board members cannot make unauthorized disclosures of privileged materials.</w:t>
      </w:r>
    </w:p>
    <w:p w14:paraId="0ADD8E15" w14:textId="2CCD1A08" w:rsidR="0065664E" w:rsidRDefault="0065664E" w:rsidP="0065664E">
      <w:pPr>
        <w:pStyle w:val="Line"/>
      </w:pPr>
      <w:r w:rsidRPr="00227059">
        <w:t>________________________________</w:t>
      </w:r>
    </w:p>
    <w:p w14:paraId="0731C418" w14:textId="7388D09C" w:rsidR="00075893" w:rsidRDefault="00E679A1"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“[S]ettled principles of condominium law establish that an owners association, like its constituent members, must act in conformity with the terms of a recorded declaration. (See Civ. Code, § 5975, subd. (a); </w:t>
      </w:r>
      <w:r w:rsidR="006647C1" w:rsidRPr="006647C1">
        <w:rPr>
          <w:rFonts w:cs="Times New Roman"/>
          <w:bCs/>
          <w:i/>
          <w:iCs/>
          <w:szCs w:val="24"/>
        </w:rPr>
        <w:t>Lamden v. La Jolla Shores Clubdominium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r w:rsidR="004E56BA" w:rsidRPr="001875C5">
        <w:rPr>
          <w:rFonts w:cs="Times New Roman"/>
          <w:bCs/>
          <w:i/>
          <w:iCs/>
          <w:szCs w:val="24"/>
        </w:rPr>
        <w:t>Lamden v. La Jolla Shores Clubdominium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Pr="007D7A8E" w:rsidRDefault="00AA69F0" w:rsidP="00AA69F0">
      <w:pPr>
        <w:spacing w:after="264"/>
        <w:ind w:left="1710" w:hanging="360"/>
        <w:rPr>
          <w:rFonts w:cs="Times New Roman"/>
          <w:bCs/>
          <w:szCs w:val="24"/>
          <w:lang w:val="es-ES"/>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r w:rsidR="009A5946" w:rsidRPr="00371CEB">
        <w:rPr>
          <w:rFonts w:cs="Times New Roman"/>
          <w:bCs/>
          <w:i/>
          <w:iCs/>
          <w:szCs w:val="24"/>
        </w:rPr>
        <w:t>Liebler v. Point Loma Tennis Club</w:t>
      </w:r>
      <w:r w:rsidR="009A5946" w:rsidRPr="00371CEB">
        <w:rPr>
          <w:rFonts w:cs="Times New Roman"/>
          <w:bCs/>
          <w:szCs w:val="24"/>
        </w:rPr>
        <w:t xml:space="preserve"> (1995) 40 Cal.App.4th 1600, 1610; </w:t>
      </w:r>
      <w:r w:rsidR="009A5946" w:rsidRPr="00371CEB">
        <w:rPr>
          <w:rFonts w:cs="Times New Roman"/>
          <w:bCs/>
          <w:i/>
          <w:iCs/>
          <w:szCs w:val="24"/>
        </w:rPr>
        <w:t>Nahrstedt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Dolan-King v. Rancho Santa Fe Ass’n.</w:t>
      </w:r>
      <w:r w:rsidR="009A5946" w:rsidRPr="00371CEB">
        <w:rPr>
          <w:rFonts w:cs="Times New Roman"/>
          <w:bCs/>
          <w:szCs w:val="24"/>
        </w:rPr>
        <w:t xml:space="preserve"> (2000) 81 Cal.App.4th 965, 975, citing former Civ. </w:t>
      </w:r>
      <w:r w:rsidR="009A5946" w:rsidRPr="007D7A8E">
        <w:rPr>
          <w:rFonts w:cs="Times New Roman"/>
          <w:bCs/>
          <w:szCs w:val="24"/>
          <w:lang w:val="es-ES"/>
        </w:rPr>
        <w:t xml:space="preserve">Code, § 1354; </w:t>
      </w:r>
      <w:r w:rsidR="009A5946" w:rsidRPr="007D7A8E">
        <w:rPr>
          <w:rFonts w:cs="Times New Roman"/>
          <w:bCs/>
          <w:i/>
          <w:iCs/>
          <w:szCs w:val="24"/>
          <w:lang w:val="es-ES"/>
        </w:rPr>
        <w:t>Villas De Las Palmas Homeowners Ass’n. v. Terifaj</w:t>
      </w:r>
      <w:r w:rsidR="009A5946" w:rsidRPr="007D7A8E">
        <w:rPr>
          <w:rFonts w:cs="Times New Roman"/>
          <w:bCs/>
          <w:szCs w:val="24"/>
          <w:lang w:val="es-ES"/>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Laguna Royale Owners Assn. v. Darger</w:t>
      </w:r>
      <w:r w:rsidR="007034D0" w:rsidRPr="00371CEB">
        <w:rPr>
          <w:rFonts w:cs="Times New Roman"/>
          <w:bCs/>
          <w:szCs w:val="24"/>
        </w:rPr>
        <w:t xml:space="preserve"> (1981) 119 Cal.App.3d 670, 683–684.)</w:t>
      </w:r>
    </w:p>
    <w:p w14:paraId="03D8BE70" w14:textId="01A9BBE2" w:rsidR="00A75054" w:rsidRDefault="00E02E28" w:rsidP="000A2D54">
      <w:pPr>
        <w:spacing w:after="264"/>
        <w:ind w:left="1080" w:hanging="360"/>
        <w:rPr>
          <w:rFonts w:cs="Times New Roman"/>
          <w:bCs/>
          <w:szCs w:val="24"/>
        </w:rPr>
      </w:pPr>
      <w:r>
        <w:rPr>
          <w:rFonts w:cs="Times New Roman"/>
          <w:bCs/>
          <w:szCs w:val="24"/>
        </w:rPr>
        <w:t xml:space="preserve">—  </w:t>
      </w:r>
      <w:r w:rsidR="00A321DF" w:rsidRPr="00E44C81">
        <w:rPr>
          <w:rFonts w:cs="Times New Roman"/>
          <w:bCs/>
          <w:szCs w:val="24"/>
        </w:rPr>
        <w:t xml:space="preserve">One of the fundamental duties of </w:t>
      </w:r>
      <w:r w:rsidR="006419DB" w:rsidRPr="00E44C81">
        <w:rPr>
          <w:rFonts w:cs="Times New Roman"/>
          <w:bCs/>
          <w:szCs w:val="24"/>
        </w:rPr>
        <w:t>an HOA</w:t>
      </w:r>
      <w:r w:rsidR="00A321DF" w:rsidRPr="00E44C81">
        <w:rPr>
          <w:rFonts w:cs="Times New Roman"/>
          <w:bCs/>
          <w:szCs w:val="24"/>
        </w:rPr>
        <w:t xml:space="preserve"> is to maintain the common areas. (Civ. Code</w:t>
      </w:r>
      <w:r w:rsidR="004D23A6" w:rsidRPr="00E44C81">
        <w:rPr>
          <w:rFonts w:cs="Times New Roman"/>
          <w:bCs/>
          <w:szCs w:val="24"/>
        </w:rPr>
        <w:t>,</w:t>
      </w:r>
      <w:r w:rsidR="00A321DF" w:rsidRPr="00E44C81">
        <w:rPr>
          <w:rFonts w:cs="Times New Roman"/>
          <w:bCs/>
          <w:szCs w:val="24"/>
        </w:rPr>
        <w:t xml:space="preserve"> § 4775.) In performing its duties, an association shall perform a reasonably competent and diligent visual inspection of the accessible areas of the major components that the association is obligated to repair, replace, restore or maintain. (Civ. Code</w:t>
      </w:r>
      <w:r w:rsidR="004D23A6" w:rsidRPr="00E44C81">
        <w:rPr>
          <w:rFonts w:cs="Times New Roman"/>
          <w:bCs/>
          <w:szCs w:val="24"/>
        </w:rPr>
        <w:t>,</w:t>
      </w:r>
      <w:r w:rsidR="00A321DF" w:rsidRPr="00E44C81">
        <w:rPr>
          <w:rFonts w:cs="Times New Roman"/>
          <w:bCs/>
          <w:szCs w:val="24"/>
        </w:rPr>
        <w:t xml:space="preserve"> § 5500(a).)</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r w:rsidR="00DF2372" w:rsidRPr="00DF2372">
        <w:rPr>
          <w:rFonts w:cs="Times New Roman"/>
          <w:bCs/>
          <w:i/>
          <w:iCs/>
          <w:szCs w:val="24"/>
        </w:rPr>
        <w:t>Cutujian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r w:rsidR="00A22BF6" w:rsidRPr="00A22BF6">
        <w:rPr>
          <w:rFonts w:cs="Times New Roman"/>
          <w:bCs/>
          <w:i/>
          <w:iCs/>
          <w:szCs w:val="24"/>
        </w:rPr>
        <w:t>Cutujian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Pacific Hills Homeowners Ass</w:t>
      </w:r>
      <w:r>
        <w:rPr>
          <w:rFonts w:cs="Times New Roman"/>
          <w:bCs/>
          <w:i/>
          <w:iCs/>
          <w:szCs w:val="24"/>
        </w:rPr>
        <w:t>’</w:t>
      </w:r>
      <w:r w:rsidRPr="00E62069">
        <w:rPr>
          <w:rFonts w:cs="Times New Roman"/>
          <w:bCs/>
          <w:i/>
          <w:iCs/>
          <w:szCs w:val="24"/>
        </w:rPr>
        <w:t>n v. Prun</w:t>
      </w:r>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lastRenderedPageBreak/>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r w:rsidR="005252D4" w:rsidRPr="005252D4">
        <w:rPr>
          <w:rFonts w:cs="Times New Roman"/>
          <w:bCs/>
          <w:i/>
          <w:iCs/>
          <w:szCs w:val="24"/>
        </w:rPr>
        <w:t>Peredia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p w14:paraId="7492B443" w14:textId="77777777" w:rsidR="003F0E15" w:rsidRDefault="00ED07CF" w:rsidP="00A87571">
      <w:pPr>
        <w:spacing w:after="264"/>
        <w:ind w:left="1080" w:hanging="360"/>
        <w:rPr>
          <w:rStyle w:val="property1"/>
          <w:rFonts w:eastAsia="Times New Roman" w:cs="Times New Roman"/>
          <w:szCs w:val="24"/>
        </w:rPr>
      </w:pPr>
      <w:r>
        <w:rPr>
          <w:rFonts w:cs="Times New Roman"/>
          <w:bCs/>
          <w:szCs w:val="24"/>
        </w:rPr>
        <w:t xml:space="preserve">—  </w:t>
      </w:r>
      <w:bookmarkStart w:id="12" w:name="_Hlk41133419"/>
      <w:r>
        <w:rPr>
          <w:rFonts w:cs="Times New Roman"/>
          <w:bCs/>
          <w:szCs w:val="24"/>
        </w:rPr>
        <w:t xml:space="preserve">The “enforcement” issue </w:t>
      </w:r>
      <w:r w:rsidR="005968E0">
        <w:rPr>
          <w:rFonts w:cs="Times New Roman"/>
          <w:bCs/>
          <w:szCs w:val="24"/>
        </w:rPr>
        <w:t>raised</w:t>
      </w:r>
      <w:r>
        <w:rPr>
          <w:rFonts w:cs="Times New Roman"/>
          <w:bCs/>
          <w:szCs w:val="24"/>
        </w:rPr>
        <w:t xml:space="preserve"> </w:t>
      </w:r>
      <w:r w:rsidR="00CD0C1E">
        <w:rPr>
          <w:rFonts w:cs="Times New Roman"/>
          <w:bCs/>
          <w:szCs w:val="24"/>
        </w:rPr>
        <w:t xml:space="preserve">in the context of </w:t>
      </w:r>
      <w:r>
        <w:rPr>
          <w:rFonts w:cs="Times New Roman"/>
          <w:bCs/>
          <w:szCs w:val="24"/>
        </w:rPr>
        <w:t xml:space="preserve">the “Breach of CC&amp;Rs” cause of action above </w:t>
      </w:r>
      <w:r w:rsidR="005968E0">
        <w:rPr>
          <w:rFonts w:cs="Times New Roman"/>
          <w:bCs/>
          <w:szCs w:val="24"/>
        </w:rPr>
        <w:t>is</w:t>
      </w:r>
      <w:r w:rsidR="00CD0C1E">
        <w:rPr>
          <w:rFonts w:cs="Times New Roman"/>
          <w:bCs/>
          <w:szCs w:val="24"/>
        </w:rPr>
        <w:t xml:space="preserve"> also</w:t>
      </w:r>
      <w:r>
        <w:rPr>
          <w:rFonts w:cs="Times New Roman"/>
          <w:bCs/>
          <w:szCs w:val="24"/>
        </w:rPr>
        <w:t xml:space="preserve"> applicable in the context of a negligence </w:t>
      </w:r>
      <w:r w:rsidR="00CD0C1E">
        <w:rPr>
          <w:rFonts w:cs="Times New Roman"/>
          <w:bCs/>
          <w:szCs w:val="24"/>
        </w:rPr>
        <w:t>claim</w:t>
      </w:r>
      <w:r>
        <w:rPr>
          <w:rFonts w:cs="Times New Roman"/>
          <w:bCs/>
          <w:szCs w:val="24"/>
        </w:rPr>
        <w:t>.</w:t>
      </w:r>
      <w:bookmarkEnd w:id="12"/>
    </w:p>
    <w:bookmarkStart w:id="13" w:name="_Hlk41032600"/>
    <w:p w14:paraId="1B59E5E9" w14:textId="77777777" w:rsidR="003F0E15" w:rsidRDefault="001A327C" w:rsidP="001A327C">
      <w:pPr>
        <w:spacing w:after="264"/>
        <w:ind w:left="1080" w:hanging="360"/>
        <w:rPr>
          <w:rStyle w:val="property1"/>
          <w:rFonts w:eastAsia="Times New Roman"/>
        </w:rPr>
      </w:pPr>
      <w:bookmarkStart w:id="14" w:name="_Hlk41131756"/>
      <w:r>
        <w:rPr>
          <w:rFonts w:cs="Times New Roman"/>
          <w:bCs/>
          <w:szCs w:val="24"/>
        </w:rPr>
        <w:t xml:space="preserve">—  </w:t>
      </w:r>
      <w:r w:rsidR="00E64351">
        <w:rPr>
          <w:rFonts w:cs="Times New Roman"/>
          <w:bCs/>
          <w:szCs w:val="24"/>
        </w:rPr>
        <w:t>The “failure to maintain” issue discussed in the context of the “Breach of CC&amp;Rs” cause of action above is also applicable in the context of a negligence claim.</w:t>
      </w:r>
      <w:bookmarkEnd w:id="14"/>
      <w:r w:rsidR="00E64351">
        <w:rPr>
          <w:rFonts w:cs="Times New Roman"/>
          <w:szCs w:val="24"/>
        </w:rPr>
        <w:t xml:space="preserve"> </w:t>
      </w:r>
    </w:p>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lastRenderedPageBreak/>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Raven’s Cove Townhomes, Inc. v. Knuppe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Mueller v. Macban</w:t>
      </w:r>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r w:rsidRPr="000F496F">
        <w:rPr>
          <w:rFonts w:cs="Times New Roman"/>
          <w:bCs/>
          <w:i/>
          <w:iCs/>
          <w:szCs w:val="24"/>
        </w:rPr>
        <w:t>Ekstrom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Raven’s Cove Townhomes, Inc. v. Kruppe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Raven’s Cove Townhomes Inc. v. Knuppe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r w:rsidRPr="002568CD">
        <w:rPr>
          <w:rFonts w:cs="Times New Roman"/>
          <w:bCs/>
          <w:i/>
          <w:iCs/>
          <w:szCs w:val="24"/>
        </w:rPr>
        <w:t>Miester v. Mensinger</w:t>
      </w:r>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lastRenderedPageBreak/>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A5B2F0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Nuisance</w:t>
      </w:r>
    </w:p>
    <w:p w14:paraId="56F2202F" w14:textId="77777777" w:rsidR="003F0E15" w:rsidRDefault="00CB10A8" w:rsidP="000B74A2">
      <w:pPr>
        <w:spacing w:after="264"/>
        <w:rPr>
          <w:rFonts w:cs="Times New Roman"/>
          <w:bCs/>
          <w:szCs w:val="24"/>
        </w:rPr>
      </w:pPr>
      <w:r w:rsidRPr="00CB10A8">
        <w:rPr>
          <w:rFonts w:cs="Times New Roman"/>
          <w:bCs/>
          <w:szCs w:val="24"/>
          <w:u w:val="single"/>
        </w:rPr>
        <w:t>Elements</w:t>
      </w:r>
      <w:r>
        <w:rPr>
          <w:rFonts w:cs="Times New Roman"/>
          <w:bCs/>
          <w:szCs w:val="24"/>
        </w:rPr>
        <w:t>—</w:t>
      </w:r>
      <w:r w:rsidR="009B1AAC">
        <w:rPr>
          <w:rFonts w:cs="Times New Roman"/>
          <w:bCs/>
          <w:szCs w:val="24"/>
        </w:rPr>
        <w:t>Nuisance.</w:t>
      </w:r>
    </w:p>
    <w:p w14:paraId="4B1C7542" w14:textId="77777777" w:rsidR="003F0E15" w:rsidRDefault="000B74A2" w:rsidP="000B74A2">
      <w:pPr>
        <w:spacing w:after="264"/>
        <w:ind w:left="1080" w:hanging="360"/>
        <w:rPr>
          <w:rFonts w:cs="Times New Roman"/>
          <w:bCs/>
          <w:szCs w:val="24"/>
        </w:rPr>
      </w:pPr>
      <w:r>
        <w:rPr>
          <w:rFonts w:cs="Times New Roman"/>
          <w:bCs/>
          <w:szCs w:val="24"/>
        </w:rPr>
        <w:t xml:space="preserve">—  </w:t>
      </w:r>
      <w:r w:rsidR="00440583">
        <w:rPr>
          <w:rFonts w:cs="Times New Roman"/>
          <w:bCs/>
          <w:szCs w:val="24"/>
        </w:rPr>
        <w:t>The elements for a private nuisance claim are: (i) p</w:t>
      </w:r>
      <w:r w:rsidR="00440583" w:rsidRPr="00346E1B">
        <w:rPr>
          <w:rFonts w:cs="Times New Roman"/>
          <w:bCs/>
          <w:szCs w:val="24"/>
        </w:rPr>
        <w:t>laintiff’s interest in property; (</w:t>
      </w:r>
      <w:r w:rsidR="00440583">
        <w:rPr>
          <w:rFonts w:cs="Times New Roman"/>
          <w:bCs/>
          <w:szCs w:val="24"/>
        </w:rPr>
        <w:t>ii</w:t>
      </w:r>
      <w:r w:rsidR="00440583" w:rsidRPr="00346E1B">
        <w:rPr>
          <w:rFonts w:cs="Times New Roman"/>
          <w:bCs/>
          <w:szCs w:val="24"/>
        </w:rPr>
        <w:t xml:space="preserve">) </w:t>
      </w:r>
      <w:r w:rsidR="00440583">
        <w:rPr>
          <w:rFonts w:cs="Times New Roman"/>
          <w:bCs/>
          <w:szCs w:val="24"/>
        </w:rPr>
        <w:t>d</w:t>
      </w:r>
      <w:r w:rsidR="00440583" w:rsidRPr="00346E1B">
        <w:rPr>
          <w:rFonts w:cs="Times New Roman"/>
          <w:bCs/>
          <w:szCs w:val="24"/>
        </w:rPr>
        <w:t xml:space="preserve">efendant’s creation of the nuisance; </w:t>
      </w:r>
      <w:r w:rsidR="00440583">
        <w:rPr>
          <w:rFonts w:cs="Times New Roman"/>
          <w:bCs/>
          <w:szCs w:val="24"/>
        </w:rPr>
        <w:t>(iii)</w:t>
      </w:r>
      <w:r w:rsidR="00440583" w:rsidRPr="00346E1B">
        <w:rPr>
          <w:rFonts w:cs="Times New Roman"/>
          <w:bCs/>
          <w:szCs w:val="24"/>
        </w:rPr>
        <w:t xml:space="preserve"> unreasonable interference with </w:t>
      </w:r>
      <w:r w:rsidR="00440583">
        <w:rPr>
          <w:rFonts w:cs="Times New Roman"/>
          <w:bCs/>
          <w:szCs w:val="24"/>
        </w:rPr>
        <w:t>p</w:t>
      </w:r>
      <w:r w:rsidR="00440583" w:rsidRPr="00346E1B">
        <w:rPr>
          <w:rFonts w:cs="Times New Roman"/>
          <w:bCs/>
          <w:szCs w:val="24"/>
        </w:rPr>
        <w:t>laintiff’s use or enjoyment of property; (</w:t>
      </w:r>
      <w:r w:rsidR="00440583">
        <w:rPr>
          <w:rFonts w:cs="Times New Roman"/>
          <w:bCs/>
          <w:szCs w:val="24"/>
        </w:rPr>
        <w:t>iv</w:t>
      </w:r>
      <w:r w:rsidR="00440583" w:rsidRPr="00346E1B">
        <w:rPr>
          <w:rFonts w:cs="Times New Roman"/>
          <w:bCs/>
          <w:szCs w:val="24"/>
        </w:rPr>
        <w:t>) causation; and (</w:t>
      </w:r>
      <w:r w:rsidR="00440583">
        <w:rPr>
          <w:rFonts w:cs="Times New Roman"/>
          <w:bCs/>
          <w:szCs w:val="24"/>
        </w:rPr>
        <w:t>v</w:t>
      </w:r>
      <w:r w:rsidR="00440583" w:rsidRPr="00346E1B">
        <w:rPr>
          <w:rFonts w:cs="Times New Roman"/>
          <w:bCs/>
          <w:szCs w:val="24"/>
        </w:rPr>
        <w:t xml:space="preserve">) damages. </w:t>
      </w:r>
      <w:r w:rsidR="00440583">
        <w:rPr>
          <w:rFonts w:cs="Times New Roman"/>
          <w:bCs/>
          <w:szCs w:val="24"/>
        </w:rPr>
        <w:t>(Civ. Code,</w:t>
      </w:r>
      <w:r w:rsidR="00440583" w:rsidRPr="00346E1B">
        <w:rPr>
          <w:rFonts w:cs="Times New Roman"/>
          <w:bCs/>
          <w:szCs w:val="24"/>
        </w:rPr>
        <w:t xml:space="preserve"> </w:t>
      </w:r>
      <w:r w:rsidR="00440583">
        <w:rPr>
          <w:rFonts w:cs="Times New Roman"/>
          <w:bCs/>
          <w:szCs w:val="24"/>
        </w:rPr>
        <w:t>§§</w:t>
      </w:r>
      <w:r w:rsidR="00440583" w:rsidRPr="00346E1B">
        <w:rPr>
          <w:rFonts w:cs="Times New Roman"/>
          <w:bCs/>
          <w:szCs w:val="24"/>
        </w:rPr>
        <w:t xml:space="preserve"> 3479, 3491</w:t>
      </w:r>
      <w:r w:rsidR="00440583">
        <w:rPr>
          <w:rFonts w:cs="Times New Roman"/>
          <w:bCs/>
          <w:szCs w:val="24"/>
        </w:rPr>
        <w:t xml:space="preserve">; </w:t>
      </w:r>
      <w:r w:rsidR="00440583" w:rsidRPr="00346E1B">
        <w:rPr>
          <w:rFonts w:cs="Times New Roman"/>
          <w:bCs/>
          <w:i/>
          <w:iCs/>
          <w:szCs w:val="24"/>
        </w:rPr>
        <w:t>San Diego Gas &amp; Electric Co. v. Sup. Ct.</w:t>
      </w:r>
      <w:r w:rsidR="00440583" w:rsidRPr="00346E1B">
        <w:rPr>
          <w:rFonts w:cs="Times New Roman"/>
          <w:bCs/>
          <w:szCs w:val="24"/>
        </w:rPr>
        <w:t xml:space="preserve"> (1996) 13 Cal.4th 893, 937.)</w:t>
      </w:r>
    </w:p>
    <w:p w14:paraId="18191667" w14:textId="77777777" w:rsidR="003F0E15" w:rsidRDefault="00440583" w:rsidP="000B74A2">
      <w:pPr>
        <w:spacing w:after="264"/>
        <w:ind w:left="1080" w:hanging="360"/>
        <w:rPr>
          <w:rFonts w:cs="Times New Roman"/>
          <w:bCs/>
          <w:szCs w:val="24"/>
        </w:rPr>
      </w:pPr>
      <w:r>
        <w:rPr>
          <w:rFonts w:cs="Times New Roman"/>
          <w:bCs/>
          <w:szCs w:val="24"/>
        </w:rPr>
        <w:lastRenderedPageBreak/>
        <w:t xml:space="preserve">—  </w:t>
      </w:r>
      <w:r w:rsidR="006F0E92">
        <w:rPr>
          <w:rFonts w:cs="Times New Roman"/>
          <w:bCs/>
          <w:szCs w:val="24"/>
        </w:rPr>
        <w:t>Simply put, a cause of action for private nuisance requires the plaintiff to prove that the defendant interfered with his or her use and enjoyment of the property. (</w:t>
      </w:r>
      <w:r w:rsidR="006F0E92" w:rsidRPr="006F0E92">
        <w:rPr>
          <w:rFonts w:cs="Times New Roman"/>
          <w:bCs/>
          <w:i/>
          <w:iCs/>
          <w:szCs w:val="24"/>
        </w:rPr>
        <w:t>Adams v. MHC Colony Park, L.P.</w:t>
      </w:r>
      <w:r w:rsidR="006F0E92">
        <w:rPr>
          <w:rFonts w:cs="Times New Roman"/>
          <w:bCs/>
          <w:szCs w:val="24"/>
        </w:rPr>
        <w:t xml:space="preserve"> (2014) 224 Cal.App.4th 601, 610; </w:t>
      </w:r>
      <w:r w:rsidR="006F0E92" w:rsidRPr="006F0E92">
        <w:rPr>
          <w:rFonts w:cs="Times New Roman"/>
          <w:bCs/>
          <w:i/>
          <w:iCs/>
          <w:szCs w:val="24"/>
        </w:rPr>
        <w:t>Monks v. City of Rancho Palos Verdes</w:t>
      </w:r>
      <w:r w:rsidR="006F0E92">
        <w:rPr>
          <w:rFonts w:cs="Times New Roman"/>
          <w:bCs/>
          <w:szCs w:val="24"/>
        </w:rPr>
        <w:t xml:space="preserve"> (2008) 167 Cal.App.4th 263, 302-303.)</w:t>
      </w:r>
    </w:p>
    <w:p w14:paraId="7FF8B99B" w14:textId="77777777" w:rsidR="003F0E15" w:rsidRDefault="00DF0E8F" w:rsidP="00DF0E8F">
      <w:pPr>
        <w:spacing w:after="264"/>
        <w:ind w:left="1080" w:hanging="360"/>
        <w:rPr>
          <w:rFonts w:cs="Times New Roman"/>
          <w:bCs/>
          <w:szCs w:val="24"/>
        </w:rPr>
      </w:pPr>
      <w:r>
        <w:rPr>
          <w:rFonts w:cs="Times New Roman"/>
          <w:bCs/>
          <w:szCs w:val="24"/>
        </w:rPr>
        <w:t xml:space="preserve">—  </w:t>
      </w:r>
      <w:r w:rsidRPr="00346E1B">
        <w:rPr>
          <w:rFonts w:cs="Times New Roman"/>
          <w:bCs/>
          <w:szCs w:val="24"/>
        </w:rPr>
        <w:t>A person’s unreasonable, unwarrantable, or unlawful use of his or her own property in a way that interferes with the rights of others is a nuisance. (</w:t>
      </w:r>
      <w:r w:rsidRPr="00346E1B">
        <w:rPr>
          <w:rFonts w:cs="Times New Roman"/>
          <w:bCs/>
          <w:i/>
          <w:iCs/>
          <w:szCs w:val="24"/>
        </w:rPr>
        <w:t>Hutcherseon v. Alexander</w:t>
      </w:r>
      <w:r w:rsidRPr="00346E1B">
        <w:rPr>
          <w:rFonts w:cs="Times New Roman"/>
          <w:bCs/>
          <w:szCs w:val="24"/>
        </w:rPr>
        <w:t xml:space="preserve"> (1968) 264 CA2d 126.)</w:t>
      </w:r>
      <w:r>
        <w:rPr>
          <w:rFonts w:cs="Times New Roman"/>
          <w:bCs/>
          <w:szCs w:val="24"/>
        </w:rPr>
        <w:t xml:space="preserve"> </w:t>
      </w:r>
    </w:p>
    <w:p w14:paraId="7828B8C1" w14:textId="77777777" w:rsidR="003F0E15" w:rsidRDefault="00DF0E8F" w:rsidP="00DF0E8F">
      <w:pPr>
        <w:spacing w:after="264"/>
        <w:ind w:left="1080" w:hanging="360"/>
        <w:rPr>
          <w:rFonts w:cs="Times New Roman"/>
          <w:bCs/>
          <w:szCs w:val="24"/>
        </w:rPr>
      </w:pPr>
      <w:r>
        <w:rPr>
          <w:rFonts w:cs="Times New Roman"/>
          <w:bCs/>
          <w:szCs w:val="24"/>
        </w:rPr>
        <w:t xml:space="preserve">—  </w:t>
      </w:r>
      <w:r w:rsidRPr="009A7630">
        <w:rPr>
          <w:rFonts w:cs="Times New Roman"/>
          <w:bCs/>
          <w:szCs w:val="24"/>
        </w:rPr>
        <w:t xml:space="preserve">A nuisance occurs where the invasion of the property of another is intentional and unreasonable, or is unintentional but caused by negligent or reckless conduct, or is from </w:t>
      </w:r>
      <w:r>
        <w:rPr>
          <w:rFonts w:cs="Times New Roman"/>
          <w:bCs/>
          <w:szCs w:val="24"/>
        </w:rPr>
        <w:t xml:space="preserve">an </w:t>
      </w:r>
      <w:r w:rsidRPr="009A7630">
        <w:rPr>
          <w:rFonts w:cs="Times New Roman"/>
          <w:bCs/>
          <w:szCs w:val="24"/>
        </w:rPr>
        <w:t xml:space="preserve">abnormally dangerous activity. An </w:t>
      </w:r>
      <w:r w:rsidRPr="009A7630">
        <w:rPr>
          <w:rFonts w:cs="Times New Roman"/>
          <w:bCs/>
          <w:i/>
          <w:iCs/>
          <w:szCs w:val="24"/>
        </w:rPr>
        <w:t>intentional</w:t>
      </w:r>
      <w:r w:rsidRPr="009A7630">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w:t>
      </w:r>
      <w:r>
        <w:rPr>
          <w:rFonts w:cs="Times New Roman"/>
          <w:bCs/>
          <w:szCs w:val="24"/>
        </w:rPr>
        <w:t xml:space="preserve">. </w:t>
      </w:r>
    </w:p>
    <w:p w14:paraId="5E6EF450" w14:textId="77777777" w:rsidR="003F0E15" w:rsidRDefault="00365B91" w:rsidP="000B74A2">
      <w:pPr>
        <w:spacing w:after="264"/>
        <w:ind w:left="1080" w:hanging="360"/>
        <w:rPr>
          <w:rFonts w:cs="Times New Roman"/>
          <w:bCs/>
          <w:szCs w:val="24"/>
        </w:rPr>
      </w:pPr>
      <w:r>
        <w:rPr>
          <w:rFonts w:cs="Times New Roman"/>
          <w:bCs/>
          <w:szCs w:val="24"/>
        </w:rPr>
        <w:t xml:space="preserve">—  If the interference is substantial </w:t>
      </w:r>
      <w:r>
        <w:rPr>
          <w:rFonts w:cs="Times New Roman"/>
          <w:bCs/>
          <w:i/>
          <w:iCs/>
          <w:szCs w:val="24"/>
        </w:rPr>
        <w:t>and</w:t>
      </w:r>
      <w:r>
        <w:rPr>
          <w:rFonts w:cs="Times New Roman"/>
          <w:bCs/>
          <w:szCs w:val="24"/>
        </w:rPr>
        <w:t xml:space="preserve"> unreasonable (so much so that it would be offensive or inconvenient to the “normal” person), then almost any disturbance of the enjoyment of someone’s property could constitute a nuisance. (</w:t>
      </w:r>
      <w:r w:rsidRPr="006F0E92">
        <w:rPr>
          <w:rFonts w:cs="Times New Roman"/>
          <w:bCs/>
          <w:i/>
          <w:iCs/>
          <w:szCs w:val="24"/>
        </w:rPr>
        <w:t>Monks v. City of Rancho Palos Verdes</w:t>
      </w:r>
      <w:r>
        <w:rPr>
          <w:rFonts w:cs="Times New Roman"/>
          <w:bCs/>
          <w:szCs w:val="24"/>
        </w:rPr>
        <w:t xml:space="preserve"> (2008) 167 Cal.App.4th 263, 302-303 citing </w:t>
      </w:r>
      <w:r>
        <w:rPr>
          <w:rFonts w:cs="Times New Roman"/>
          <w:bCs/>
          <w:i/>
          <w:iCs/>
          <w:szCs w:val="24"/>
        </w:rPr>
        <w:t>Koll-Irvine Center Property Owners Assn v. County of Orange</w:t>
      </w:r>
      <w:r>
        <w:rPr>
          <w:rFonts w:cs="Times New Roman"/>
          <w:bCs/>
          <w:szCs w:val="24"/>
        </w:rPr>
        <w:t xml:space="preserve"> (1994) 24 Cal.App.4th 1036, 1041 [“a</w:t>
      </w:r>
      <w:r w:rsidRPr="00365B91">
        <w:rPr>
          <w:rFonts w:cs="Times New Roman"/>
          <w:bCs/>
          <w:szCs w:val="24"/>
        </w:rPr>
        <w:t>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r>
        <w:rPr>
          <w:rFonts w:cs="Times New Roman"/>
          <w:bCs/>
          <w:szCs w:val="24"/>
        </w:rPr>
        <w:t>].)</w:t>
      </w:r>
    </w:p>
    <w:p w14:paraId="3EEFD971" w14:textId="77777777" w:rsidR="003F0E15" w:rsidRDefault="00693188" w:rsidP="000B74A2">
      <w:pPr>
        <w:spacing w:after="264"/>
        <w:ind w:left="1080" w:hanging="360"/>
        <w:rPr>
          <w:rFonts w:cs="Times New Roman"/>
          <w:bCs/>
          <w:szCs w:val="24"/>
        </w:rPr>
      </w:pPr>
      <w:r>
        <w:rPr>
          <w:rFonts w:cs="Times New Roman"/>
          <w:bCs/>
          <w:szCs w:val="24"/>
        </w:rPr>
        <w:t xml:space="preserve">—  </w:t>
      </w:r>
      <w:r w:rsidR="00440583" w:rsidRPr="00440583">
        <w:rPr>
          <w:rFonts w:cs="Times New Roman"/>
          <w:bCs/>
          <w:szCs w:val="24"/>
        </w:rPr>
        <w:t>Nuisances are characterized as either permanent or continuing. The nature of the claim and available damages are different for either type of nuisance. The crucial distinction between a permanent and continuing nuisance is whether the nuisance is abatable—i.e.</w:t>
      </w:r>
      <w:r w:rsidR="00440583">
        <w:rPr>
          <w:rFonts w:cs="Times New Roman"/>
          <w:bCs/>
          <w:szCs w:val="24"/>
        </w:rPr>
        <w:t>,</w:t>
      </w:r>
      <w:r w:rsidR="00440583" w:rsidRPr="00440583">
        <w:rPr>
          <w:rFonts w:cs="Times New Roman"/>
          <w:bCs/>
          <w:szCs w:val="24"/>
        </w:rPr>
        <w:t xml:space="preserve"> capable of being remedied at reasonable cost and by reasonable means. (See </w:t>
      </w:r>
      <w:r w:rsidR="00440583" w:rsidRPr="00440583">
        <w:rPr>
          <w:rFonts w:cs="Times New Roman"/>
          <w:bCs/>
          <w:i/>
          <w:iCs/>
          <w:szCs w:val="24"/>
        </w:rPr>
        <w:t>Mangini v. Aerojet-General Corp.</w:t>
      </w:r>
      <w:r w:rsidR="00440583" w:rsidRPr="00440583">
        <w:rPr>
          <w:rFonts w:cs="Times New Roman"/>
          <w:bCs/>
          <w:szCs w:val="24"/>
        </w:rPr>
        <w:t xml:space="preserve"> (1996) 12 Cal.4th 1087, 1093; </w:t>
      </w:r>
      <w:r w:rsidR="00440583" w:rsidRPr="00440583">
        <w:rPr>
          <w:rFonts w:cs="Times New Roman"/>
          <w:bCs/>
          <w:i/>
          <w:iCs/>
          <w:szCs w:val="24"/>
        </w:rPr>
        <w:t>McCoy v. Gustafson</w:t>
      </w:r>
      <w:r w:rsidR="00440583" w:rsidRPr="00440583">
        <w:rPr>
          <w:rFonts w:cs="Times New Roman"/>
          <w:bCs/>
          <w:szCs w:val="24"/>
        </w:rPr>
        <w:t xml:space="preserve"> (2009) 180 Cal.App.4th 56, 84.)</w:t>
      </w:r>
    </w:p>
    <w:p w14:paraId="467BD6E3" w14:textId="77777777" w:rsidR="003F0E15" w:rsidRDefault="002B6C02" w:rsidP="000B74A2">
      <w:pPr>
        <w:spacing w:after="264"/>
        <w:ind w:left="1080" w:hanging="360"/>
        <w:rPr>
          <w:rFonts w:cs="Times New Roman"/>
          <w:szCs w:val="24"/>
        </w:rPr>
      </w:pPr>
      <w:r>
        <w:rPr>
          <w:rFonts w:cs="Times New Roman"/>
          <w:bCs/>
          <w:szCs w:val="24"/>
        </w:rPr>
        <w:t>—  The “failure to maintain” issue discussed in the context of the “Breach of CC&amp;Rs” and “Negligence” causes of action above is also applicable in the context of a nuisance claim.</w:t>
      </w:r>
    </w:p>
    <w:p w14:paraId="224AFD01" w14:textId="351D582F" w:rsidR="003F0E15" w:rsidRDefault="005A6F4A" w:rsidP="005A6F4A">
      <w:pPr>
        <w:spacing w:after="264"/>
        <w:ind w:left="1080" w:hanging="360"/>
        <w:rPr>
          <w:rFonts w:cs="Times New Roman"/>
          <w:bCs/>
          <w:szCs w:val="24"/>
        </w:rPr>
      </w:pPr>
      <w:r w:rsidRPr="007E2199">
        <w:rPr>
          <w:rFonts w:cs="Times New Roman"/>
          <w:bCs/>
          <w:szCs w:val="24"/>
        </w:rPr>
        <w:t xml:space="preserve">—  </w:t>
      </w:r>
      <w:r w:rsidRPr="005A6F4A">
        <w:rPr>
          <w:rFonts w:cs="Times New Roman"/>
          <w:bCs/>
          <w:szCs w:val="24"/>
        </w:rPr>
        <w:t xml:space="preserve">Nuisance v. Trespass. </w:t>
      </w:r>
      <w:r w:rsidR="00F5483D" w:rsidRPr="005A6F4A">
        <w:rPr>
          <w:rFonts w:cs="Times New Roman"/>
          <w:bCs/>
          <w:szCs w:val="24"/>
        </w:rPr>
        <w:t xml:space="preserve">Nuisance is based on a property’s owner’s use of his or her own property in a way that adversely affects other property owners. Typical examples of a nuisance include things like </w:t>
      </w:r>
      <w:r w:rsidR="00F5483D" w:rsidRPr="005A6F4A">
        <w:rPr>
          <w:rFonts w:cs="Times New Roman"/>
          <w:bCs/>
          <w:szCs w:val="24"/>
        </w:rPr>
        <w:lastRenderedPageBreak/>
        <w:t>excessive noise, vibration, odors, etc.</w:t>
      </w:r>
      <w:r w:rsidR="00F5483D">
        <w:rPr>
          <w:rFonts w:cs="Times New Roman"/>
          <w:bCs/>
          <w:szCs w:val="24"/>
        </w:rPr>
        <w:t xml:space="preserve"> </w:t>
      </w:r>
      <w:r w:rsidRPr="005A6F4A">
        <w:rPr>
          <w:rFonts w:cs="Times New Roman"/>
          <w:bCs/>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718BCD9"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33904ED5" w14:textId="77777777" w:rsidR="003F0E15" w:rsidRDefault="00805A7D" w:rsidP="00805A7D">
      <w:pPr>
        <w:spacing w:after="264"/>
        <w:ind w:left="1080" w:hanging="360"/>
        <w:rPr>
          <w:rFonts w:cs="Times New Roman"/>
          <w:bCs/>
          <w:szCs w:val="24"/>
        </w:rPr>
      </w:pPr>
      <w:r>
        <w:rPr>
          <w:rFonts w:cs="Times New Roman"/>
          <w:bCs/>
          <w:szCs w:val="24"/>
        </w:rPr>
        <w:t xml:space="preserve">—  </w:t>
      </w:r>
      <w:r w:rsidR="0033652F">
        <w:rPr>
          <w:rFonts w:cs="Times New Roman"/>
          <w:bCs/>
          <w:szCs w:val="24"/>
        </w:rPr>
        <w:t xml:space="preserve">Remedies are different, depending upon whether the nuisance is </w:t>
      </w:r>
      <w:r w:rsidR="0033652F">
        <w:rPr>
          <w:rFonts w:cs="Times New Roman"/>
          <w:bCs/>
          <w:i/>
          <w:iCs/>
          <w:szCs w:val="24"/>
        </w:rPr>
        <w:t>permanent</w:t>
      </w:r>
      <w:r w:rsidR="00244118">
        <w:rPr>
          <w:rFonts w:cs="Times New Roman"/>
          <w:bCs/>
          <w:szCs w:val="24"/>
        </w:rPr>
        <w:t xml:space="preserve"> or </w:t>
      </w:r>
      <w:r w:rsidR="00244118">
        <w:rPr>
          <w:rFonts w:cs="Times New Roman"/>
          <w:bCs/>
          <w:i/>
          <w:iCs/>
          <w:szCs w:val="24"/>
        </w:rPr>
        <w:t>continuing</w:t>
      </w:r>
      <w:r w:rsidR="00244118">
        <w:rPr>
          <w:rFonts w:cs="Times New Roman"/>
          <w:bCs/>
          <w:szCs w:val="24"/>
        </w:rPr>
        <w:t>.</w:t>
      </w:r>
    </w:p>
    <w:p w14:paraId="577CE4E3" w14:textId="77777777" w:rsidR="003F0E15" w:rsidRDefault="0033652F" w:rsidP="0033652F">
      <w:pPr>
        <w:spacing w:after="264"/>
        <w:ind w:left="1350" w:hanging="270"/>
        <w:rPr>
          <w:rFonts w:cs="Times New Roman"/>
          <w:bCs/>
          <w:szCs w:val="24"/>
        </w:rPr>
      </w:pPr>
      <w:r>
        <w:rPr>
          <w:rFonts w:cs="Times New Roman"/>
          <w:bCs/>
          <w:szCs w:val="24"/>
        </w:rPr>
        <w:t xml:space="preserve">•   For </w:t>
      </w:r>
      <w:r w:rsidRPr="00244118">
        <w:rPr>
          <w:rFonts w:cs="Times New Roman"/>
          <w:bCs/>
          <w:i/>
          <w:iCs/>
          <w:szCs w:val="24"/>
        </w:rPr>
        <w:t>permanent</w:t>
      </w:r>
      <w:r>
        <w:rPr>
          <w:rFonts w:cs="Times New Roman"/>
          <w:bCs/>
          <w:szCs w:val="24"/>
        </w:rPr>
        <w:t xml:space="preserve"> nuisances, </w:t>
      </w:r>
      <w:r w:rsidR="00905151">
        <w:rPr>
          <w:rFonts w:cs="Times New Roman"/>
          <w:bCs/>
          <w:szCs w:val="24"/>
        </w:rPr>
        <w:t>compensatory (money) damages</w:t>
      </w:r>
      <w:r>
        <w:rPr>
          <w:rFonts w:cs="Times New Roman"/>
          <w:bCs/>
          <w:szCs w:val="24"/>
        </w:rPr>
        <w:t xml:space="preserve"> are available. </w:t>
      </w:r>
      <w:r w:rsidRPr="0033652F">
        <w:rPr>
          <w:rFonts w:cs="Times New Roman"/>
          <w:bCs/>
          <w:szCs w:val="24"/>
        </w:rPr>
        <w:t xml:space="preserve">The usual measure of </w:t>
      </w:r>
      <w:r>
        <w:rPr>
          <w:rFonts w:cs="Times New Roman"/>
          <w:bCs/>
          <w:szCs w:val="24"/>
        </w:rPr>
        <w:t xml:space="preserve">such </w:t>
      </w:r>
      <w:r w:rsidRPr="0033652F">
        <w:rPr>
          <w:rFonts w:cs="Times New Roman"/>
          <w:bCs/>
          <w:szCs w:val="24"/>
        </w:rPr>
        <w:t xml:space="preserve">damages is the diminution </w:t>
      </w:r>
      <w:r>
        <w:rPr>
          <w:rFonts w:cs="Times New Roman"/>
          <w:bCs/>
          <w:szCs w:val="24"/>
        </w:rPr>
        <w:t>in fair market value of the affected property. (</w:t>
      </w:r>
      <w:r w:rsidRPr="0033652F">
        <w:rPr>
          <w:rFonts w:cs="Times New Roman"/>
          <w:bCs/>
          <w:i/>
          <w:iCs/>
          <w:szCs w:val="24"/>
        </w:rPr>
        <w:t>Varjabedian v. City of Madera</w:t>
      </w:r>
      <w:r w:rsidRPr="0033652F">
        <w:rPr>
          <w:rFonts w:cs="Times New Roman"/>
          <w:bCs/>
          <w:szCs w:val="24"/>
        </w:rPr>
        <w:t xml:space="preserve"> (1977) 20 Cal.3d 285, 292</w:t>
      </w:r>
      <w:r>
        <w:rPr>
          <w:rFonts w:cs="Times New Roman"/>
          <w:bCs/>
          <w:szCs w:val="24"/>
        </w:rPr>
        <w:t xml:space="preserve"> [j</w:t>
      </w:r>
      <w:r w:rsidRPr="0033652F">
        <w:rPr>
          <w:rFonts w:cs="Times New Roman"/>
          <w:bCs/>
          <w:szCs w:val="24"/>
        </w:rPr>
        <w:t xml:space="preserve">ury decides </w:t>
      </w:r>
      <w:r>
        <w:rPr>
          <w:rFonts w:cs="Times New Roman"/>
          <w:bCs/>
          <w:szCs w:val="24"/>
        </w:rPr>
        <w:t xml:space="preserve">fair </w:t>
      </w:r>
      <w:r w:rsidRPr="0033652F">
        <w:rPr>
          <w:rFonts w:cs="Times New Roman"/>
          <w:bCs/>
          <w:szCs w:val="24"/>
        </w:rPr>
        <w:t>market value before and after creation of nuisance</w:t>
      </w:r>
      <w:r>
        <w:rPr>
          <w:rFonts w:cs="Times New Roman"/>
          <w:bCs/>
          <w:szCs w:val="24"/>
        </w:rPr>
        <w:t>]</w:t>
      </w:r>
      <w:r w:rsidRPr="0033652F">
        <w:rPr>
          <w:rFonts w:cs="Times New Roman"/>
          <w:bCs/>
          <w:szCs w:val="24"/>
        </w:rPr>
        <w:t>.) A plaintiff may also recover the present value of losses or expenses he or she may, with reasonable certainty, incur in the future because of the nuisance.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at</w:t>
      </w:r>
      <w:r w:rsidRPr="0033652F">
        <w:rPr>
          <w:rFonts w:cs="Times New Roman"/>
          <w:bCs/>
          <w:szCs w:val="24"/>
        </w:rPr>
        <w:t xml:space="preserve"> 295.) A plaintiff must recover all past, present, and future damages in one suit. (</w:t>
      </w:r>
      <w:r w:rsidRPr="0033652F">
        <w:rPr>
          <w:rFonts w:cs="Times New Roman"/>
          <w:bCs/>
          <w:i/>
          <w:iCs/>
          <w:szCs w:val="24"/>
        </w:rPr>
        <w:t>Kornoff v. Kingsburg Cotton Oil Co.</w:t>
      </w:r>
      <w:r w:rsidRPr="0033652F">
        <w:rPr>
          <w:rFonts w:cs="Times New Roman"/>
          <w:bCs/>
          <w:szCs w:val="24"/>
        </w:rPr>
        <w:t xml:space="preserve"> (1955) 45 Cal.2d 265, 271-272.)</w:t>
      </w:r>
    </w:p>
    <w:p w14:paraId="70C6D3E5" w14:textId="77777777" w:rsidR="003F0E15" w:rsidRDefault="00244118" w:rsidP="0033652F">
      <w:pPr>
        <w:spacing w:after="264"/>
        <w:ind w:left="1350" w:hanging="270"/>
        <w:rPr>
          <w:rFonts w:cs="Times New Roman"/>
          <w:bCs/>
          <w:szCs w:val="24"/>
        </w:rPr>
      </w:pPr>
      <w:r>
        <w:rPr>
          <w:rFonts w:cs="Times New Roman"/>
          <w:bCs/>
          <w:szCs w:val="24"/>
        </w:rPr>
        <w:t xml:space="preserve">•   </w:t>
      </w:r>
      <w:r w:rsidRPr="00244118">
        <w:rPr>
          <w:rFonts w:cs="Times New Roman"/>
          <w:bCs/>
          <w:szCs w:val="24"/>
        </w:rPr>
        <w:t xml:space="preserve">For </w:t>
      </w:r>
      <w:r w:rsidRPr="00244118">
        <w:rPr>
          <w:rFonts w:cs="Times New Roman"/>
          <w:bCs/>
          <w:i/>
          <w:iCs/>
          <w:szCs w:val="24"/>
        </w:rPr>
        <w:t>continuing</w:t>
      </w:r>
      <w:r w:rsidRPr="00244118">
        <w:rPr>
          <w:rFonts w:cs="Times New Roman"/>
          <w:bCs/>
          <w:szCs w:val="24"/>
        </w:rPr>
        <w:t xml:space="preserve"> nuisances, the </w:t>
      </w:r>
      <w:r w:rsidR="00905151">
        <w:rPr>
          <w:rFonts w:cs="Times New Roman"/>
          <w:bCs/>
          <w:szCs w:val="24"/>
        </w:rPr>
        <w:t>compensatory (money) damages</w:t>
      </w:r>
      <w:r w:rsidRPr="00244118">
        <w:rPr>
          <w:rFonts w:cs="Times New Roman"/>
          <w:bCs/>
          <w:szCs w:val="24"/>
        </w:rPr>
        <w:t xml:space="preserve"> are different. A plaintiff can only recover actual damages </w:t>
      </w:r>
      <w:r w:rsidR="00586698" w:rsidRPr="00586698">
        <w:rPr>
          <w:rFonts w:cs="Times New Roman"/>
          <w:bCs/>
          <w:i/>
          <w:iCs/>
          <w:szCs w:val="24"/>
        </w:rPr>
        <w:t>through</w:t>
      </w:r>
      <w:r w:rsidRPr="00586698">
        <w:rPr>
          <w:rFonts w:cs="Times New Roman"/>
          <w:bCs/>
          <w:i/>
          <w:iCs/>
          <w:szCs w:val="24"/>
        </w:rPr>
        <w:t xml:space="preserve"> the date of the suit</w:t>
      </w:r>
      <w:r w:rsidR="00586698">
        <w:rPr>
          <w:rFonts w:cs="Times New Roman"/>
          <w:bCs/>
          <w:szCs w:val="24"/>
        </w:rPr>
        <w:t xml:space="preserve"> (i.e., plaintiff cannot recover damages for diminution in value) because there is no certainty the nuisance will continue. The rational for that is apparently that </w:t>
      </w:r>
      <w:r w:rsidR="00586698" w:rsidRPr="00244118">
        <w:rPr>
          <w:rFonts w:cs="Times New Roman"/>
          <w:bCs/>
          <w:szCs w:val="24"/>
        </w:rPr>
        <w:t xml:space="preserve">if </w:t>
      </w:r>
      <w:r w:rsidR="00586698">
        <w:rPr>
          <w:rFonts w:cs="Times New Roman"/>
          <w:bCs/>
          <w:szCs w:val="24"/>
        </w:rPr>
        <w:t xml:space="preserve">the </w:t>
      </w:r>
      <w:r w:rsidR="00586698" w:rsidRPr="00244118">
        <w:rPr>
          <w:rFonts w:cs="Times New Roman"/>
          <w:bCs/>
          <w:szCs w:val="24"/>
        </w:rPr>
        <w:t xml:space="preserve">defendant is willing and able to abate the nuisance, it is unfair to award damages on the theory </w:t>
      </w:r>
      <w:r w:rsidR="00586698">
        <w:rPr>
          <w:rFonts w:cs="Times New Roman"/>
          <w:bCs/>
          <w:szCs w:val="24"/>
        </w:rPr>
        <w:t xml:space="preserve">that </w:t>
      </w:r>
      <w:r w:rsidR="00586698" w:rsidRPr="00244118">
        <w:rPr>
          <w:rFonts w:cs="Times New Roman"/>
          <w:bCs/>
          <w:szCs w:val="24"/>
        </w:rPr>
        <w:t>the nuisance will continue. (</w:t>
      </w:r>
      <w:r w:rsidR="00586698" w:rsidRPr="00586698">
        <w:rPr>
          <w:rFonts w:cs="Times New Roman"/>
          <w:bCs/>
          <w:i/>
          <w:iCs/>
          <w:szCs w:val="24"/>
        </w:rPr>
        <w:t>Gehr v. Baker Hughes Oil Field Operations Inc.</w:t>
      </w:r>
      <w:r w:rsidR="00586698" w:rsidRPr="00244118">
        <w:rPr>
          <w:rFonts w:cs="Times New Roman"/>
          <w:bCs/>
          <w:szCs w:val="24"/>
        </w:rPr>
        <w:t xml:space="preserve"> (2008) 165 Cal.App.4th 660, 668.)</w:t>
      </w:r>
      <w:r w:rsidR="00586698">
        <w:rPr>
          <w:rFonts w:cs="Times New Roman"/>
          <w:bCs/>
          <w:szCs w:val="24"/>
        </w:rPr>
        <w:t xml:space="preserve"> Which leads to the most common remedy for ongoing nuisances—abatement. </w:t>
      </w:r>
      <w:r w:rsidRPr="00244118">
        <w:rPr>
          <w:rFonts w:cs="Times New Roman"/>
          <w:bCs/>
          <w:szCs w:val="24"/>
        </w:rPr>
        <w:t>A continuing nuisance is ongoing and can be abated at any time via injunction. (</w:t>
      </w:r>
      <w:r w:rsidRPr="00586698">
        <w:rPr>
          <w:rFonts w:cs="Times New Roman"/>
          <w:bCs/>
          <w:i/>
          <w:iCs/>
          <w:szCs w:val="24"/>
        </w:rPr>
        <w:t>Baker v. Burbank-Glendale-Pasadena Airport Auth.</w:t>
      </w:r>
      <w:r w:rsidRPr="00244118">
        <w:rPr>
          <w:rFonts w:cs="Times New Roman"/>
          <w:bCs/>
          <w:szCs w:val="24"/>
        </w:rPr>
        <w:t xml:space="preserve"> (1985) 39 Cal.3d 862, 868-871.) </w:t>
      </w:r>
    </w:p>
    <w:p w14:paraId="41946AB3" w14:textId="77777777" w:rsidR="003F0E15" w:rsidRDefault="00393294" w:rsidP="00393294">
      <w:pPr>
        <w:spacing w:after="264"/>
        <w:ind w:left="1080" w:hanging="360"/>
        <w:rPr>
          <w:rFonts w:cs="Times New Roman"/>
          <w:bCs/>
          <w:szCs w:val="24"/>
        </w:rPr>
      </w:pPr>
      <w:r>
        <w:rPr>
          <w:rFonts w:cs="Times New Roman"/>
          <w:bCs/>
          <w:szCs w:val="24"/>
        </w:rPr>
        <w:t xml:space="preserve">—  </w:t>
      </w:r>
      <w:bookmarkStart w:id="16" w:name="_Hlk40938318"/>
      <w:r>
        <w:rPr>
          <w:rFonts w:cs="Times New Roman"/>
          <w:bCs/>
          <w:szCs w:val="24"/>
        </w:rPr>
        <w:t xml:space="preserve">Emotional distress damages are also a possibility. (See </w:t>
      </w:r>
      <w:r w:rsidRPr="00393294">
        <w:rPr>
          <w:rFonts w:cs="Times New Roman"/>
          <w:bCs/>
          <w:i/>
          <w:iCs/>
          <w:szCs w:val="24"/>
        </w:rPr>
        <w:t>Kornoff v. Kingsburg Cotton Oil Co.</w:t>
      </w:r>
      <w:r>
        <w:rPr>
          <w:rFonts w:cs="Times New Roman"/>
          <w:bCs/>
          <w:szCs w:val="24"/>
        </w:rPr>
        <w:t xml:space="preserve">, </w:t>
      </w:r>
      <w:r>
        <w:rPr>
          <w:rFonts w:cs="Times New Roman"/>
          <w:bCs/>
          <w:i/>
          <w:iCs/>
          <w:szCs w:val="24"/>
        </w:rPr>
        <w:t>supra</w:t>
      </w:r>
      <w:r>
        <w:rPr>
          <w:rFonts w:cs="Times New Roman"/>
          <w:bCs/>
          <w:szCs w:val="24"/>
        </w:rPr>
        <w:t>, 45 Cal.</w:t>
      </w:r>
      <w:r w:rsidRPr="00393294">
        <w:rPr>
          <w:rFonts w:cs="Times New Roman"/>
          <w:bCs/>
          <w:szCs w:val="24"/>
        </w:rPr>
        <w:t xml:space="preserve">2d </w:t>
      </w:r>
      <w:r>
        <w:rPr>
          <w:rFonts w:cs="Times New Roman"/>
          <w:bCs/>
          <w:szCs w:val="24"/>
        </w:rPr>
        <w:t>at</w:t>
      </w:r>
      <w:r w:rsidRPr="00393294">
        <w:rPr>
          <w:rFonts w:cs="Times New Roman"/>
          <w:bCs/>
          <w:szCs w:val="24"/>
        </w:rPr>
        <w:t xml:space="preserve"> 272; </w:t>
      </w:r>
      <w:r w:rsidRPr="00393294">
        <w:rPr>
          <w:rFonts w:cs="Times New Roman"/>
          <w:bCs/>
          <w:i/>
          <w:iCs/>
          <w:szCs w:val="24"/>
        </w:rPr>
        <w:t>Potter v. Firestone Tire &amp; Rubber Co.</w:t>
      </w:r>
      <w:r w:rsidRPr="00393294">
        <w:rPr>
          <w:rFonts w:cs="Times New Roman"/>
          <w:bCs/>
          <w:szCs w:val="24"/>
        </w:rPr>
        <w:t xml:space="preserve"> (1993) 6 Cal.4th 965, 986, fn.10</w:t>
      </w:r>
      <w:bookmarkEnd w:id="16"/>
      <w:r>
        <w:rPr>
          <w:rFonts w:cs="Times New Roman"/>
          <w:bCs/>
          <w:szCs w:val="24"/>
        </w:rPr>
        <w:t xml:space="preserve">; </w:t>
      </w:r>
      <w:r w:rsidRPr="00393294">
        <w:rPr>
          <w:rFonts w:cs="Times New Roman"/>
          <w:bCs/>
          <w:i/>
          <w:iCs/>
          <w:szCs w:val="24"/>
        </w:rPr>
        <w:t>Smith v. County of Los Angeles</w:t>
      </w:r>
      <w:r w:rsidRPr="00393294">
        <w:rPr>
          <w:rFonts w:cs="Times New Roman"/>
          <w:bCs/>
          <w:szCs w:val="24"/>
        </w:rPr>
        <w:t xml:space="preserve"> (1989) 214 Cal.App.3d 266, 287-288</w:t>
      </w:r>
      <w:r>
        <w:rPr>
          <w:rFonts w:cs="Times New Roman"/>
          <w:bCs/>
          <w:szCs w:val="24"/>
        </w:rPr>
        <w:t xml:space="preserve">; </w:t>
      </w:r>
      <w:r w:rsidRPr="00393294">
        <w:rPr>
          <w:rFonts w:cs="Times New Roman"/>
          <w:bCs/>
          <w:i/>
          <w:iCs/>
          <w:szCs w:val="24"/>
        </w:rPr>
        <w:t>City of San Jose v. Superior Court</w:t>
      </w:r>
      <w:r w:rsidRPr="00393294">
        <w:rPr>
          <w:rFonts w:cs="Times New Roman"/>
          <w:bCs/>
          <w:szCs w:val="24"/>
        </w:rPr>
        <w:t xml:space="preserve"> (1974) 12 Cal.3d 447, 464</w:t>
      </w:r>
      <w:r>
        <w:rPr>
          <w:rFonts w:cs="Times New Roman"/>
          <w:bCs/>
          <w:szCs w:val="24"/>
        </w:rPr>
        <w:t xml:space="preserve"> [d</w:t>
      </w:r>
      <w:r w:rsidRPr="00393294">
        <w:rPr>
          <w:rFonts w:cs="Times New Roman"/>
          <w:bCs/>
          <w:szCs w:val="24"/>
        </w:rPr>
        <w:t>amages recoverable in a successful nuisance action for injuries to real property include not only diminution in market value but also damages for annoyance, inconvenience, and discomfort</w:t>
      </w:r>
      <w:r>
        <w:rPr>
          <w:rFonts w:cs="Times New Roman"/>
          <w:bCs/>
          <w:szCs w:val="24"/>
        </w:rPr>
        <w:t xml:space="preserve">].) </w:t>
      </w:r>
      <w:r w:rsidRPr="00393294">
        <w:rPr>
          <w:rFonts w:cs="Times New Roman"/>
          <w:bCs/>
          <w:szCs w:val="24"/>
        </w:rPr>
        <w:t xml:space="preserve">Mental distress </w:t>
      </w:r>
      <w:r w:rsidR="00B14A63">
        <w:rPr>
          <w:rFonts w:cs="Times New Roman"/>
          <w:bCs/>
          <w:szCs w:val="24"/>
        </w:rPr>
        <w:t>is a</w:t>
      </w:r>
      <w:r w:rsidRPr="00393294">
        <w:rPr>
          <w:rFonts w:cs="Times New Roman"/>
          <w:bCs/>
          <w:szCs w:val="24"/>
        </w:rPr>
        <w:t>n element of loss of enjoyment. (</w:t>
      </w:r>
      <w:r w:rsidRPr="00B14A63">
        <w:rPr>
          <w:rFonts w:cs="Times New Roman"/>
          <w:bCs/>
          <w:i/>
          <w:iCs/>
          <w:szCs w:val="24"/>
        </w:rPr>
        <w:t>Sturges v. Charles L. Harney Inc.</w:t>
      </w:r>
      <w:r w:rsidRPr="00393294">
        <w:rPr>
          <w:rFonts w:cs="Times New Roman"/>
          <w:bCs/>
          <w:szCs w:val="24"/>
        </w:rPr>
        <w:t xml:space="preserve"> (1958) 165 Cal.App.2d 306, 323.)</w:t>
      </w:r>
    </w:p>
    <w:p w14:paraId="03AC1805" w14:textId="77777777" w:rsidR="003F0E15" w:rsidRDefault="00E4290E" w:rsidP="00393294">
      <w:pPr>
        <w:spacing w:after="264"/>
        <w:ind w:left="1080" w:hanging="360"/>
        <w:rPr>
          <w:rFonts w:cs="Times New Roman"/>
          <w:bCs/>
          <w:szCs w:val="24"/>
        </w:rPr>
      </w:pPr>
      <w:r>
        <w:rPr>
          <w:rFonts w:cs="Times New Roman"/>
          <w:bCs/>
          <w:szCs w:val="24"/>
        </w:rPr>
        <w:t xml:space="preserve">—  </w:t>
      </w:r>
      <w:r w:rsidRPr="00E4290E">
        <w:rPr>
          <w:rFonts w:cs="Times New Roman"/>
          <w:bCs/>
          <w:szCs w:val="24"/>
        </w:rPr>
        <w:t>Punitive damages may be awarded where plaintiff proves by clear and convincing evidence that defendant was guilty of oppression, fraud</w:t>
      </w:r>
      <w:r>
        <w:rPr>
          <w:rFonts w:cs="Times New Roman"/>
          <w:bCs/>
          <w:szCs w:val="24"/>
        </w:rPr>
        <w:t>,</w:t>
      </w:r>
      <w:r w:rsidRPr="00E4290E">
        <w:rPr>
          <w:rFonts w:cs="Times New Roman"/>
          <w:bCs/>
          <w:szCs w:val="24"/>
        </w:rPr>
        <w:t xml:space="preserve"> or malice. (Civ. Code</w:t>
      </w:r>
      <w:r>
        <w:rPr>
          <w:rFonts w:cs="Times New Roman"/>
          <w:bCs/>
          <w:szCs w:val="24"/>
        </w:rPr>
        <w:t>,</w:t>
      </w:r>
      <w:r w:rsidRPr="00E4290E">
        <w:rPr>
          <w:rFonts w:cs="Times New Roman"/>
          <w:bCs/>
          <w:szCs w:val="24"/>
        </w:rPr>
        <w:t xml:space="preserve"> § 3294(a); </w:t>
      </w:r>
      <w:r w:rsidRPr="00E4290E">
        <w:rPr>
          <w:rFonts w:cs="Times New Roman"/>
          <w:bCs/>
          <w:i/>
          <w:iCs/>
          <w:szCs w:val="24"/>
        </w:rPr>
        <w:t>Hassoldt v. Patrick Media Group Inc.</w:t>
      </w:r>
      <w:r w:rsidRPr="00E4290E">
        <w:rPr>
          <w:rFonts w:cs="Times New Roman"/>
          <w:bCs/>
          <w:szCs w:val="24"/>
        </w:rPr>
        <w:t xml:space="preserve"> (2000) 84 Cal.App.4th 153, 169-170</w:t>
      </w:r>
      <w:r>
        <w:rPr>
          <w:rFonts w:cs="Times New Roman"/>
          <w:bCs/>
          <w:szCs w:val="24"/>
        </w:rPr>
        <w:t>.)</w:t>
      </w:r>
    </w:p>
    <w:p w14:paraId="469BA5A4" w14:textId="77777777" w:rsidR="003F0E15" w:rsidRDefault="006A3B04" w:rsidP="00393294">
      <w:pPr>
        <w:spacing w:after="264"/>
        <w:ind w:left="1080" w:hanging="360"/>
        <w:rPr>
          <w:rFonts w:cs="Times New Roman"/>
          <w:bCs/>
          <w:szCs w:val="24"/>
        </w:rPr>
      </w:pPr>
      <w:r>
        <w:rPr>
          <w:rFonts w:cs="Times New Roman"/>
          <w:bCs/>
          <w:szCs w:val="24"/>
        </w:rPr>
        <w:t xml:space="preserve">—  </w:t>
      </w:r>
      <w:r w:rsidRPr="006A3B04">
        <w:rPr>
          <w:rFonts w:cs="Times New Roman"/>
          <w:bCs/>
          <w:szCs w:val="24"/>
        </w:rPr>
        <w:t>Declaratory relief may be available in nuisance cases. (Code Civ. Proc.</w:t>
      </w:r>
      <w:r>
        <w:rPr>
          <w:rFonts w:cs="Times New Roman"/>
          <w:bCs/>
          <w:szCs w:val="24"/>
        </w:rPr>
        <w:t>,</w:t>
      </w:r>
      <w:r w:rsidRPr="006A3B04">
        <w:rPr>
          <w:rFonts w:cs="Times New Roman"/>
          <w:bCs/>
          <w:szCs w:val="24"/>
        </w:rPr>
        <w:t xml:space="preserve"> § 1060; </w:t>
      </w:r>
      <w:r w:rsidRPr="006A3B04">
        <w:rPr>
          <w:rFonts w:cs="Times New Roman"/>
          <w:bCs/>
          <w:i/>
          <w:iCs/>
          <w:szCs w:val="24"/>
        </w:rPr>
        <w:t>Shamsian v. Atlantic Richfield Co.</w:t>
      </w:r>
      <w:r w:rsidRPr="006A3B04">
        <w:rPr>
          <w:rFonts w:cs="Times New Roman"/>
          <w:bCs/>
          <w:szCs w:val="24"/>
        </w:rPr>
        <w:t xml:space="preserve"> (2003) 107 Cal.App.4th 967, 984.)</w:t>
      </w:r>
    </w:p>
    <w:p w14:paraId="7A9578C8" w14:textId="77777777" w:rsidR="003F0E15" w:rsidRDefault="00D45B7D" w:rsidP="00393294">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78EC77EE"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F980A56" w14:textId="77777777" w:rsidR="003F0E15" w:rsidRDefault="00CE6FC7" w:rsidP="00CE6FC7">
      <w:pPr>
        <w:spacing w:after="264"/>
        <w:ind w:left="1080" w:hanging="360"/>
        <w:rPr>
          <w:rFonts w:cs="Times New Roman"/>
          <w:bCs/>
          <w:szCs w:val="24"/>
        </w:rPr>
      </w:pPr>
      <w:r>
        <w:rPr>
          <w:rFonts w:cs="Times New Roman"/>
          <w:bCs/>
          <w:szCs w:val="24"/>
        </w:rPr>
        <w:t xml:space="preserve">—  </w:t>
      </w:r>
      <w:r w:rsidR="00357552" w:rsidRPr="00357552">
        <w:rPr>
          <w:rFonts w:cs="Times New Roman"/>
          <w:bCs/>
          <w:szCs w:val="24"/>
        </w:rPr>
        <w:t>Three years for property damage</w:t>
      </w:r>
      <w:r w:rsidR="00357552">
        <w:rPr>
          <w:rFonts w:cs="Times New Roman"/>
          <w:bCs/>
          <w:szCs w:val="24"/>
        </w:rPr>
        <w:t xml:space="preserve"> resulting from a nuisance</w:t>
      </w:r>
      <w:r w:rsidR="00357552" w:rsidRPr="00357552">
        <w:rPr>
          <w:rFonts w:cs="Times New Roman"/>
          <w:bCs/>
          <w:szCs w:val="24"/>
        </w:rPr>
        <w:t>. (Code Civ. Proc.</w:t>
      </w:r>
      <w:r w:rsidR="00357552">
        <w:rPr>
          <w:rFonts w:cs="Times New Roman"/>
          <w:bCs/>
          <w:szCs w:val="24"/>
        </w:rPr>
        <w:t>,</w:t>
      </w:r>
      <w:r w:rsidR="00357552" w:rsidRPr="00357552">
        <w:rPr>
          <w:rFonts w:cs="Times New Roman"/>
          <w:bCs/>
          <w:szCs w:val="24"/>
        </w:rPr>
        <w:t xml:space="preserve"> § 338(b); </w:t>
      </w:r>
      <w:r w:rsidR="00357552" w:rsidRPr="00357552">
        <w:rPr>
          <w:rFonts w:cs="Times New Roman"/>
          <w:bCs/>
          <w:i/>
          <w:iCs/>
          <w:szCs w:val="24"/>
        </w:rPr>
        <w:t>Wilshire Westwood Assocs. v. Atlantic Richfield Co.</w:t>
      </w:r>
      <w:r w:rsidR="00357552" w:rsidRPr="00357552">
        <w:rPr>
          <w:rFonts w:cs="Times New Roman"/>
          <w:bCs/>
          <w:szCs w:val="24"/>
        </w:rPr>
        <w:t xml:space="preserve"> (1993) 20 Cal.App.4th 732, 743-745.) </w:t>
      </w:r>
    </w:p>
    <w:p w14:paraId="2FAE5017" w14:textId="77777777" w:rsidR="003F0E15" w:rsidRDefault="00357552" w:rsidP="00CE6FC7">
      <w:pPr>
        <w:spacing w:after="264"/>
        <w:ind w:left="1080" w:hanging="360"/>
        <w:rPr>
          <w:rFonts w:cs="Times New Roman"/>
          <w:bCs/>
          <w:szCs w:val="24"/>
        </w:rPr>
      </w:pPr>
      <w:r>
        <w:rPr>
          <w:rFonts w:cs="Times New Roman"/>
          <w:bCs/>
          <w:szCs w:val="24"/>
        </w:rPr>
        <w:t xml:space="preserve">—  Two years for personal injuries </w:t>
      </w:r>
      <w:r w:rsidRPr="00357552">
        <w:rPr>
          <w:rFonts w:cs="Times New Roman"/>
          <w:bCs/>
          <w:szCs w:val="24"/>
        </w:rPr>
        <w:t>resulting from a nuisance</w:t>
      </w:r>
      <w:r>
        <w:rPr>
          <w:rFonts w:cs="Times New Roman"/>
          <w:bCs/>
          <w:szCs w:val="24"/>
        </w:rPr>
        <w:t xml:space="preserve">.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29D07762" w14:textId="77777777" w:rsidR="003F0E15" w:rsidRDefault="00357552" w:rsidP="00CE6FC7">
      <w:pPr>
        <w:spacing w:after="264"/>
        <w:ind w:left="1080" w:hanging="360"/>
        <w:rPr>
          <w:rFonts w:cs="Times New Roman"/>
          <w:bCs/>
          <w:szCs w:val="24"/>
        </w:rPr>
      </w:pPr>
      <w:r>
        <w:rPr>
          <w:rFonts w:cs="Times New Roman"/>
          <w:bCs/>
          <w:szCs w:val="24"/>
        </w:rPr>
        <w:t xml:space="preserve">—  </w:t>
      </w:r>
      <w:r w:rsidRPr="00357552">
        <w:rPr>
          <w:rFonts w:cs="Times New Roman"/>
          <w:bCs/>
          <w:szCs w:val="24"/>
        </w:rPr>
        <w:t>Commencement of running of the statute can be an issue.</w:t>
      </w:r>
    </w:p>
    <w:p w14:paraId="0F3C5D64"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 </w:t>
      </w:r>
    </w:p>
    <w:p w14:paraId="7B535C38"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a </w:t>
      </w:r>
      <w:r w:rsidRPr="00357552">
        <w:rPr>
          <w:rFonts w:cs="Times New Roman"/>
          <w:bCs/>
          <w:i/>
          <w:iCs/>
          <w:szCs w:val="24"/>
        </w:rPr>
        <w:t>permanent</w:t>
      </w:r>
      <w:r w:rsidRPr="00357552">
        <w:rPr>
          <w:rFonts w:cs="Times New Roman"/>
          <w:bCs/>
          <w:szCs w:val="24"/>
        </w:rPr>
        <w:t xml:space="preserve"> nuisance</w:t>
      </w:r>
      <w:r>
        <w:rPr>
          <w:rFonts w:cs="Times New Roman"/>
          <w:bCs/>
          <w:szCs w:val="24"/>
        </w:rPr>
        <w:t xml:space="preserve"> (e.g., a building, fence, </w:t>
      </w:r>
      <w:r w:rsidRPr="00357552">
        <w:rPr>
          <w:rFonts w:cs="Times New Roman"/>
          <w:bCs/>
          <w:szCs w:val="24"/>
        </w:rPr>
        <w:t>buried sewer, or structure located on the property of another</w:t>
      </w:r>
      <w:r>
        <w:rPr>
          <w:rFonts w:cs="Times New Roman"/>
          <w:bCs/>
          <w:szCs w:val="24"/>
        </w:rPr>
        <w:t>)</w:t>
      </w:r>
      <w:r w:rsidRPr="00357552">
        <w:rPr>
          <w:rFonts w:cs="Times New Roman"/>
          <w:bCs/>
          <w:szCs w:val="24"/>
        </w:rPr>
        <w:t xml:space="preserve">, the three year statute of limitations begins to run </w:t>
      </w:r>
      <w:r w:rsidRPr="00357552">
        <w:rPr>
          <w:rFonts w:cs="Times New Roman"/>
          <w:bCs/>
          <w:i/>
          <w:iCs/>
          <w:szCs w:val="24"/>
          <w:u w:val="single"/>
        </w:rPr>
        <w:t>when the nuisance first occurred</w:t>
      </w:r>
      <w:r w:rsidRPr="00357552">
        <w:rPr>
          <w:rFonts w:cs="Times New Roman"/>
          <w:bCs/>
          <w:szCs w:val="24"/>
        </w:rPr>
        <w:t xml:space="preserve">. </w:t>
      </w:r>
    </w:p>
    <w:p w14:paraId="20DF4AE3" w14:textId="77777777" w:rsidR="003F0E15" w:rsidRDefault="00DC2000" w:rsidP="00DC200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4E84E7D4" w14:textId="77777777" w:rsidR="003F0E15" w:rsidRDefault="00DC2000" w:rsidP="00DC200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Nuisance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36B5D400" w14:textId="77777777" w:rsidR="003F0E15" w:rsidRDefault="00DC2000" w:rsidP="00DC2000">
      <w:pPr>
        <w:spacing w:after="264"/>
        <w:ind w:left="1080" w:hanging="360"/>
        <w:rPr>
          <w:rFonts w:cs="Times New Roman"/>
          <w:bCs/>
          <w:szCs w:val="24"/>
          <w:highlight w:val="green"/>
        </w:rPr>
      </w:pPr>
      <w:r w:rsidRPr="002D206C">
        <w:rPr>
          <w:rFonts w:cs="Times New Roman"/>
          <w:bCs/>
          <w:szCs w:val="24"/>
          <w:highlight w:val="green"/>
        </w:rPr>
        <w:t>—  ***</w:t>
      </w:r>
    </w:p>
    <w:p w14:paraId="33F9826D" w14:textId="77777777" w:rsidR="003F0E15" w:rsidRDefault="00DC2000" w:rsidP="00DC2000">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B818023"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255E99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8EF4042"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5C235255" w14:textId="77777777" w:rsidR="003F0E15" w:rsidRPr="007D7A8E" w:rsidRDefault="008F6894" w:rsidP="00E13C80">
      <w:pPr>
        <w:pStyle w:val="Heading2"/>
        <w:spacing w:after="264"/>
        <w:rPr>
          <w:lang w:val="fr-FR"/>
        </w:rPr>
      </w:pPr>
      <w:r w:rsidRPr="00274E8F">
        <w:lastRenderedPageBreak/>
        <w:fldChar w:fldCharType="begin"/>
      </w:r>
      <w:r w:rsidRPr="007D7A8E">
        <w:rPr>
          <w:lang w:val="fr-FR"/>
        </w:rPr>
        <w:instrText xml:space="preserve"> LISTNUM LegalDefault \l 2 </w:instrText>
      </w:r>
      <w:r w:rsidRPr="00274E8F">
        <w:fldChar w:fldCharType="end"/>
      </w:r>
      <w:r w:rsidR="007A5F70" w:rsidRPr="007D7A8E">
        <w:rPr>
          <w:lang w:val="fr-FR"/>
        </w:rPr>
        <w:br/>
      </w:r>
      <w:r w:rsidRPr="007D7A8E">
        <w:rPr>
          <w:lang w:val="fr-FR"/>
        </w:rPr>
        <w:t>Negligent Misrepresentation</w:t>
      </w:r>
    </w:p>
    <w:p w14:paraId="5C22204E" w14:textId="77777777" w:rsidR="003F0E15" w:rsidRPr="007D7A8E" w:rsidRDefault="00CB10A8" w:rsidP="00312FCD">
      <w:pPr>
        <w:spacing w:after="264"/>
        <w:rPr>
          <w:rFonts w:cs="Times New Roman"/>
          <w:bCs/>
          <w:szCs w:val="24"/>
          <w:lang w:val="fr-FR"/>
        </w:rPr>
      </w:pPr>
      <w:r w:rsidRPr="007D7A8E">
        <w:rPr>
          <w:rFonts w:cs="Times New Roman"/>
          <w:bCs/>
          <w:szCs w:val="24"/>
          <w:u w:val="single"/>
          <w:lang w:val="fr-FR"/>
        </w:rPr>
        <w:t>Elements</w:t>
      </w:r>
      <w:r w:rsidRPr="007D7A8E">
        <w:rPr>
          <w:rFonts w:cs="Times New Roman"/>
          <w:bCs/>
          <w:szCs w:val="24"/>
          <w:lang w:val="fr-FR"/>
        </w:rPr>
        <w:t>—</w:t>
      </w:r>
      <w:r w:rsidR="00312FCD" w:rsidRPr="007D7A8E">
        <w:rPr>
          <w:rFonts w:cs="Times New Roman"/>
          <w:bCs/>
          <w:szCs w:val="24"/>
          <w:lang w:val="fr-FR"/>
        </w:rPr>
        <w:t>Negligent Misrepresentation.</w:t>
      </w:r>
    </w:p>
    <w:p w14:paraId="7F6097F7" w14:textId="77777777" w:rsidR="003F0E15" w:rsidRDefault="00033460" w:rsidP="00312FCD">
      <w:pPr>
        <w:spacing w:after="264"/>
        <w:ind w:left="1080" w:hanging="360"/>
        <w:rPr>
          <w:rFonts w:cs="Times New Roman"/>
          <w:bCs/>
          <w:szCs w:val="24"/>
        </w:rPr>
      </w:pPr>
      <w:r>
        <w:rPr>
          <w:rFonts w:cs="Times New Roman"/>
          <w:bCs/>
          <w:szCs w:val="24"/>
        </w:rPr>
        <w:t>—  The</w:t>
      </w:r>
      <w:r w:rsidRPr="00797B83">
        <w:rPr>
          <w:rFonts w:cs="Times New Roman"/>
          <w:bCs/>
          <w:szCs w:val="24"/>
        </w:rPr>
        <w:t xml:space="preserve"> elements of a claim for </w:t>
      </w:r>
      <w:r w:rsidRPr="00033460">
        <w:rPr>
          <w:rFonts w:cs="Times New Roman"/>
          <w:bCs/>
          <w:i/>
          <w:iCs/>
          <w:szCs w:val="24"/>
        </w:rPr>
        <w:t>negligent</w:t>
      </w:r>
      <w:r w:rsidRPr="00797B83">
        <w:rPr>
          <w:rFonts w:cs="Times New Roman"/>
          <w:bCs/>
          <w:szCs w:val="24"/>
        </w:rPr>
        <w:t xml:space="preserve"> misrepresentation are nearly identical </w:t>
      </w:r>
      <w:r>
        <w:rPr>
          <w:rFonts w:cs="Times New Roman"/>
          <w:bCs/>
          <w:szCs w:val="24"/>
        </w:rPr>
        <w:t xml:space="preserve">to those required to allege </w:t>
      </w:r>
      <w:r w:rsidRPr="00033460">
        <w:rPr>
          <w:rFonts w:cs="Times New Roman"/>
          <w:bCs/>
          <w:szCs w:val="24"/>
        </w:rPr>
        <w:t>intentional</w:t>
      </w:r>
      <w:r>
        <w:rPr>
          <w:rFonts w:cs="Times New Roman"/>
          <w:bCs/>
          <w:szCs w:val="24"/>
        </w:rPr>
        <w:t xml:space="preserve"> misrepresentation (or fraud), </w:t>
      </w:r>
      <w:r w:rsidRPr="00033460">
        <w:rPr>
          <w:rFonts w:cs="Times New Roman"/>
          <w:bCs/>
          <w:szCs w:val="24"/>
        </w:rPr>
        <w:t>except</w:t>
      </w:r>
      <w:r w:rsidRPr="00797B83">
        <w:rPr>
          <w:rFonts w:cs="Times New Roman"/>
          <w:bCs/>
          <w:szCs w:val="24"/>
        </w:rPr>
        <w:t xml:space="preserve"> that the second element requires the absence of reasonable grounds for believing the misrepresentation to be true instead of knowledge of its falsity.</w:t>
      </w:r>
      <w:r>
        <w:rPr>
          <w:rFonts w:cs="Times New Roman"/>
          <w:bCs/>
          <w:szCs w:val="24"/>
        </w:rPr>
        <w:t xml:space="preserve"> The elements, therefore, are: </w:t>
      </w:r>
      <w:r w:rsidRPr="00797B83">
        <w:rPr>
          <w:rFonts w:cs="Times New Roman"/>
          <w:bCs/>
          <w:szCs w:val="24"/>
        </w:rPr>
        <w:t>(</w:t>
      </w:r>
      <w:r>
        <w:rPr>
          <w:rFonts w:cs="Times New Roman"/>
          <w:bCs/>
          <w:szCs w:val="24"/>
        </w:rPr>
        <w:t>i</w:t>
      </w:r>
      <w:r w:rsidRPr="00797B83">
        <w:rPr>
          <w:rFonts w:cs="Times New Roman"/>
          <w:bCs/>
          <w:szCs w:val="24"/>
        </w:rPr>
        <w:t>) a misrepresentation</w:t>
      </w:r>
      <w:r>
        <w:rPr>
          <w:rFonts w:cs="Times New Roman"/>
          <w:bCs/>
          <w:szCs w:val="24"/>
        </w:rPr>
        <w:t xml:space="preserve">; (ii) made with no reasonable basis to believe the representation is true; (iii) </w:t>
      </w:r>
      <w:r w:rsidRPr="00797B83">
        <w:rPr>
          <w:rFonts w:cs="Times New Roman"/>
          <w:bCs/>
          <w:szCs w:val="24"/>
        </w:rPr>
        <w:t>with the intent to induce another</w:t>
      </w:r>
      <w:r>
        <w:rPr>
          <w:rFonts w:cs="Times New Roman"/>
          <w:bCs/>
          <w:szCs w:val="24"/>
        </w:rPr>
        <w:t>’s</w:t>
      </w:r>
      <w:r w:rsidRPr="00797B83">
        <w:rPr>
          <w:rFonts w:cs="Times New Roman"/>
          <w:bCs/>
          <w:szCs w:val="24"/>
        </w:rPr>
        <w:t xml:space="preserve"> reliance on the misrepresentation</w:t>
      </w:r>
      <w:r>
        <w:rPr>
          <w:rFonts w:cs="Times New Roman"/>
          <w:bCs/>
          <w:szCs w:val="24"/>
        </w:rPr>
        <w:t xml:space="preserve">; (iv) </w:t>
      </w:r>
      <w:r w:rsidRPr="00797B83">
        <w:rPr>
          <w:rFonts w:cs="Times New Roman"/>
          <w:bCs/>
          <w:szCs w:val="24"/>
        </w:rPr>
        <w:t>actual and justifiable reliance</w:t>
      </w:r>
      <w:r>
        <w:rPr>
          <w:rFonts w:cs="Times New Roman"/>
          <w:bCs/>
          <w:szCs w:val="24"/>
        </w:rPr>
        <w:t xml:space="preserve">; and (v) </w:t>
      </w:r>
      <w:r w:rsidRPr="00797B83">
        <w:rPr>
          <w:rFonts w:cs="Times New Roman"/>
          <w:bCs/>
          <w:szCs w:val="24"/>
        </w:rPr>
        <w:t>resulting damage</w:t>
      </w:r>
      <w:r>
        <w:rPr>
          <w:rFonts w:cs="Times New Roman"/>
          <w:bCs/>
          <w:szCs w:val="24"/>
        </w:rPr>
        <w:t>. (</w:t>
      </w:r>
      <w:r w:rsidRPr="0029724E">
        <w:rPr>
          <w:rFonts w:cs="Times New Roman"/>
          <w:bCs/>
          <w:i/>
          <w:iCs/>
          <w:szCs w:val="24"/>
        </w:rPr>
        <w:t>Daniels v. Select Portfolio Servicing, Inc.</w:t>
      </w:r>
      <w:r>
        <w:rPr>
          <w:rFonts w:cs="Times New Roman"/>
          <w:bCs/>
          <w:szCs w:val="24"/>
        </w:rPr>
        <w:t xml:space="preserve"> (2016) 246 Cal.App.4th 1150, 1166; </w:t>
      </w:r>
      <w:r>
        <w:rPr>
          <w:rFonts w:cs="Times New Roman"/>
          <w:bCs/>
          <w:i/>
          <w:iCs/>
          <w:szCs w:val="24"/>
        </w:rPr>
        <w:t>Bock v. Hansen</w:t>
      </w:r>
      <w:r>
        <w:rPr>
          <w:rFonts w:cs="Times New Roman"/>
          <w:bCs/>
          <w:szCs w:val="24"/>
        </w:rPr>
        <w:t xml:space="preserve"> (2014) 225 Cal.App.4th 215, 231.)</w:t>
      </w:r>
    </w:p>
    <w:p w14:paraId="63B7CD3A"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55E70DD" w14:textId="77777777" w:rsidR="003F0E15" w:rsidRDefault="00805A7D" w:rsidP="00805A7D">
      <w:pPr>
        <w:spacing w:after="264"/>
        <w:ind w:left="1080" w:hanging="360"/>
        <w:rPr>
          <w:rFonts w:cs="Times New Roman"/>
          <w:bCs/>
          <w:szCs w:val="24"/>
        </w:rPr>
      </w:pPr>
      <w:r>
        <w:rPr>
          <w:rFonts w:cs="Times New Roman"/>
          <w:bCs/>
          <w:szCs w:val="24"/>
        </w:rPr>
        <w:t xml:space="preserve">—  </w:t>
      </w:r>
      <w:r w:rsidR="00D7599D" w:rsidRPr="00D7599D">
        <w:rPr>
          <w:rFonts w:cs="Times New Roman"/>
          <w:bCs/>
          <w:szCs w:val="24"/>
        </w:rPr>
        <w:t xml:space="preserve">For compensatory </w:t>
      </w:r>
      <w:r w:rsidR="00ED73D0">
        <w:rPr>
          <w:rFonts w:cs="Times New Roman"/>
          <w:bCs/>
          <w:szCs w:val="24"/>
        </w:rPr>
        <w:t xml:space="preserve">(money) </w:t>
      </w:r>
      <w:r w:rsidR="00D7599D" w:rsidRPr="00D7599D">
        <w:rPr>
          <w:rFonts w:cs="Times New Roman"/>
          <w:bCs/>
          <w:szCs w:val="24"/>
        </w:rPr>
        <w:t>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00D7599D" w:rsidRPr="00D7599D">
        <w:rPr>
          <w:rFonts w:cs="Times New Roman"/>
          <w:bCs/>
          <w:i/>
          <w:iCs/>
          <w:szCs w:val="24"/>
        </w:rPr>
        <w:t>Alliance Mortg. Co. v. Rothwell</w:t>
      </w:r>
      <w:r w:rsidR="00D7599D" w:rsidRPr="00D7599D">
        <w:rPr>
          <w:rFonts w:cs="Times New Roman"/>
          <w:bCs/>
          <w:szCs w:val="24"/>
        </w:rPr>
        <w:t xml:space="preserve"> (1995) 10 Cal.4th 1226.)</w:t>
      </w:r>
    </w:p>
    <w:p w14:paraId="575D4B01" w14:textId="77777777" w:rsidR="003F0E15" w:rsidRDefault="00D7599D" w:rsidP="00805A7D">
      <w:pPr>
        <w:spacing w:after="264"/>
        <w:ind w:left="1080" w:hanging="360"/>
        <w:rPr>
          <w:rFonts w:cs="Times New Roman"/>
          <w:bCs/>
          <w:szCs w:val="24"/>
        </w:rPr>
      </w:pPr>
      <w:r>
        <w:rPr>
          <w:rFonts w:cs="Times New Roman"/>
          <w:bCs/>
          <w:szCs w:val="24"/>
        </w:rPr>
        <w:t xml:space="preserve">—  </w:t>
      </w:r>
      <w:r w:rsidRPr="00D7599D">
        <w:rPr>
          <w:rFonts w:cs="Times New Roman"/>
          <w:bCs/>
          <w:szCs w:val="24"/>
        </w:rPr>
        <w:t>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w:t>
      </w:r>
      <w:r w:rsidR="00ED73D0">
        <w:rPr>
          <w:rFonts w:cs="Times New Roman"/>
          <w:bCs/>
          <w:szCs w:val="24"/>
        </w:rPr>
        <w:t>i</w:t>
      </w:r>
      <w:r w:rsidRPr="00D7599D">
        <w:rPr>
          <w:rFonts w:cs="Times New Roman"/>
          <w:bCs/>
          <w:szCs w:val="24"/>
        </w:rPr>
        <w:t>) amounts actually and reasonably expended in reliance upon the fraud; (</w:t>
      </w:r>
      <w:r w:rsidR="00ED73D0">
        <w:rPr>
          <w:rFonts w:cs="Times New Roman"/>
          <w:bCs/>
          <w:szCs w:val="24"/>
        </w:rPr>
        <w:t>ii</w:t>
      </w:r>
      <w:r w:rsidRPr="00D7599D">
        <w:rPr>
          <w:rFonts w:cs="Times New Roman"/>
          <w:bCs/>
          <w:szCs w:val="24"/>
        </w:rPr>
        <w:t>) amounts for loss of use and enjoyment of the property proximately caused by the fraud; and (</w:t>
      </w:r>
      <w:r w:rsidR="00ED73D0">
        <w:rPr>
          <w:rFonts w:cs="Times New Roman"/>
          <w:bCs/>
          <w:szCs w:val="24"/>
        </w:rPr>
        <w:t>iii</w:t>
      </w:r>
      <w:r w:rsidRPr="00D7599D">
        <w:rPr>
          <w:rFonts w:cs="Times New Roman"/>
          <w:bCs/>
          <w:szCs w:val="24"/>
        </w:rPr>
        <w:t xml:space="preserve">) in the case of a party induced to sell income property, profits or other gains </w:t>
      </w:r>
      <w:r w:rsidR="00ED73D0">
        <w:rPr>
          <w:rFonts w:cs="Times New Roman"/>
          <w:bCs/>
          <w:szCs w:val="24"/>
        </w:rPr>
        <w:t>that</w:t>
      </w:r>
      <w:r w:rsidRPr="00D7599D">
        <w:rPr>
          <w:rFonts w:cs="Times New Roman"/>
          <w:bCs/>
          <w:szCs w:val="24"/>
        </w:rPr>
        <w:t xml:space="preserve"> might reasonably have been earned by use of the property had the person retained it. (Civ. Code, § 3343(a).) Additional damage calculations apply if the defrauded party was induced to purchase income property. (</w:t>
      </w:r>
      <w:r w:rsidR="00426749" w:rsidRPr="00426749">
        <w:rPr>
          <w:rFonts w:cs="Times New Roman"/>
          <w:bCs/>
          <w:i/>
          <w:szCs w:val="24"/>
        </w:rPr>
        <w:t>Ibid</w:t>
      </w:r>
      <w:r w:rsidRPr="00ED73D0">
        <w:rPr>
          <w:rFonts w:cs="Times New Roman"/>
          <w:bCs/>
          <w:i/>
          <w:iCs/>
          <w:szCs w:val="24"/>
        </w:rPr>
        <w:t>.</w:t>
      </w:r>
      <w:r w:rsidRPr="00D7599D">
        <w:rPr>
          <w:rFonts w:cs="Times New Roman"/>
          <w:bCs/>
          <w:szCs w:val="24"/>
        </w:rPr>
        <w:t xml:space="preserve">) Damages are </w:t>
      </w:r>
      <w:r w:rsidRPr="00ED73D0">
        <w:rPr>
          <w:rFonts w:cs="Times New Roman"/>
          <w:bCs/>
          <w:i/>
          <w:iCs/>
          <w:szCs w:val="24"/>
          <w:u w:val="single"/>
        </w:rPr>
        <w:t>not</w:t>
      </w:r>
      <w:r w:rsidRPr="00D7599D">
        <w:rPr>
          <w:rFonts w:cs="Times New Roman"/>
          <w:bCs/>
          <w:szCs w:val="24"/>
        </w:rPr>
        <w:t xml:space="preserve"> calculated as the difference between what was represented and what the property is actually worth. (Civ. Code, § 3343(b).)</w:t>
      </w:r>
    </w:p>
    <w:p w14:paraId="49C8A6EF" w14:textId="77777777" w:rsidR="003F0E15" w:rsidRDefault="00ED73D0" w:rsidP="00805A7D">
      <w:pPr>
        <w:spacing w:after="264"/>
        <w:ind w:left="1080" w:hanging="360"/>
        <w:rPr>
          <w:rFonts w:cs="Times New Roman"/>
          <w:bCs/>
          <w:szCs w:val="24"/>
        </w:rPr>
      </w:pPr>
      <w:r>
        <w:rPr>
          <w:rFonts w:cs="Times New Roman"/>
          <w:bCs/>
          <w:szCs w:val="24"/>
        </w:rPr>
        <w:t xml:space="preserve">—  </w:t>
      </w:r>
      <w:r w:rsidRPr="00ED73D0">
        <w:rPr>
          <w:rFonts w:cs="Times New Roman"/>
          <w:bCs/>
          <w:szCs w:val="24"/>
        </w:rPr>
        <w:t>Punitive damages and emotional distress damages are not available in the absence of physical injury. (</w:t>
      </w:r>
      <w:r w:rsidRPr="00ED73D0">
        <w:rPr>
          <w:rFonts w:cs="Times New Roman"/>
          <w:bCs/>
          <w:i/>
          <w:iCs/>
          <w:szCs w:val="24"/>
        </w:rPr>
        <w:t>Butler-Rupp v. Lourdeaux</w:t>
      </w:r>
      <w:r w:rsidRPr="00ED73D0">
        <w:rPr>
          <w:rFonts w:cs="Times New Roman"/>
          <w:bCs/>
          <w:szCs w:val="24"/>
        </w:rPr>
        <w:t xml:space="preserve"> (2005) 134 Cal.App.4th 1220, 1227; </w:t>
      </w:r>
      <w:r w:rsidRPr="00ED73D0">
        <w:rPr>
          <w:rFonts w:cs="Times New Roman"/>
          <w:bCs/>
          <w:i/>
          <w:iCs/>
          <w:szCs w:val="24"/>
        </w:rPr>
        <w:t>Branch v. Homefed Bank</w:t>
      </w:r>
      <w:r w:rsidRPr="00ED73D0">
        <w:rPr>
          <w:rFonts w:cs="Times New Roman"/>
          <w:bCs/>
          <w:szCs w:val="24"/>
        </w:rPr>
        <w:t xml:space="preserve"> (1992) 6 Cal.App.793, 799-800.)</w:t>
      </w:r>
    </w:p>
    <w:p w14:paraId="20CC3C0F"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92AC27A"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0887E80F" w14:textId="77777777" w:rsidR="003F0E15" w:rsidRDefault="00CE6FC7" w:rsidP="00CE6FC7">
      <w:pPr>
        <w:spacing w:after="264"/>
        <w:ind w:left="1080" w:hanging="360"/>
        <w:rPr>
          <w:rFonts w:cs="Times New Roman"/>
          <w:bCs/>
          <w:szCs w:val="24"/>
        </w:rPr>
      </w:pPr>
      <w:r>
        <w:rPr>
          <w:rFonts w:cs="Times New Roman"/>
          <w:bCs/>
          <w:szCs w:val="24"/>
        </w:rPr>
        <w:lastRenderedPageBreak/>
        <w:t xml:space="preserve">—  </w:t>
      </w:r>
      <w:r w:rsidR="008F163E">
        <w:rPr>
          <w:rFonts w:cs="Times New Roman"/>
          <w:bCs/>
          <w:szCs w:val="24"/>
        </w:rPr>
        <w:t>Three years. (Code Civ. Proc., § 338(d).)</w:t>
      </w:r>
    </w:p>
    <w:p w14:paraId="485969D7" w14:textId="77777777" w:rsidR="003F0E15" w:rsidRDefault="00C47391" w:rsidP="00C47391">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11F86FC" w14:textId="77777777" w:rsidR="003F0E15" w:rsidRDefault="00C47391" w:rsidP="00C47391">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negligent misrepresentation</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2105FE9" w14:textId="77777777" w:rsidR="003F0E15" w:rsidRDefault="00C47391" w:rsidP="00C47391">
      <w:pPr>
        <w:spacing w:after="264"/>
        <w:ind w:left="1080" w:hanging="360"/>
        <w:rPr>
          <w:rFonts w:cs="Times New Roman"/>
          <w:bCs/>
          <w:szCs w:val="24"/>
          <w:highlight w:val="green"/>
        </w:rPr>
      </w:pPr>
      <w:r w:rsidRPr="002D206C">
        <w:rPr>
          <w:rFonts w:cs="Times New Roman"/>
          <w:bCs/>
          <w:szCs w:val="24"/>
          <w:highlight w:val="green"/>
        </w:rPr>
        <w:t>—  ***</w:t>
      </w:r>
    </w:p>
    <w:p w14:paraId="1ADF5728" w14:textId="77777777" w:rsidR="003F0E15" w:rsidRDefault="00C47391" w:rsidP="00C47391">
      <w:pPr>
        <w:spacing w:after="264"/>
        <w:ind w:left="720"/>
        <w:rPr>
          <w:rFonts w:cs="Times New Roman"/>
          <w:bCs/>
          <w:szCs w:val="24"/>
        </w:rPr>
      </w:pPr>
      <w:r w:rsidRPr="002D206C">
        <w:rPr>
          <w:rFonts w:cs="Times New Roman"/>
          <w:bCs/>
          <w:szCs w:val="24"/>
          <w:highlight w:val="green"/>
        </w:rPr>
        <w:t>—  ***</w:t>
      </w:r>
    </w:p>
    <w:p w14:paraId="1D19548E"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3D28311A"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2A0F378A"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720DDE0"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7A5F70">
        <w:br/>
      </w:r>
      <w:r w:rsidR="00F03376">
        <w:t>Implied Covenant of Good Faith and Fair Dealing</w:t>
      </w:r>
    </w:p>
    <w:p w14:paraId="2AB6D717" w14:textId="77777777" w:rsidR="003F0E15" w:rsidRDefault="00CB10A8" w:rsidP="00172659">
      <w:pPr>
        <w:spacing w:after="264"/>
        <w:rPr>
          <w:rFonts w:cs="Times New Roman"/>
          <w:bCs/>
          <w:szCs w:val="24"/>
        </w:rPr>
      </w:pPr>
      <w:r w:rsidRPr="00CB10A8">
        <w:rPr>
          <w:rFonts w:cs="Times New Roman"/>
          <w:bCs/>
          <w:szCs w:val="24"/>
          <w:u w:val="single"/>
        </w:rPr>
        <w:t>Elements</w:t>
      </w:r>
      <w:r>
        <w:rPr>
          <w:rFonts w:cs="Times New Roman"/>
          <w:bCs/>
          <w:szCs w:val="24"/>
        </w:rPr>
        <w:t>—</w:t>
      </w:r>
      <w:r w:rsidR="00EB3A33">
        <w:rPr>
          <w:rFonts w:cs="Times New Roman"/>
          <w:bCs/>
          <w:szCs w:val="24"/>
        </w:rPr>
        <w:t xml:space="preserve">Breach of the </w:t>
      </w:r>
      <w:r w:rsidR="00D76751">
        <w:rPr>
          <w:rFonts w:cs="Times New Roman"/>
          <w:bCs/>
          <w:szCs w:val="24"/>
        </w:rPr>
        <w:t>Implied Covenant</w:t>
      </w:r>
      <w:r w:rsidR="00EB3A33">
        <w:rPr>
          <w:rFonts w:cs="Times New Roman"/>
          <w:bCs/>
          <w:szCs w:val="24"/>
        </w:rPr>
        <w:t xml:space="preserve"> of Good Faith and Fair Dealing.</w:t>
      </w:r>
    </w:p>
    <w:p w14:paraId="473EE11E" w14:textId="77777777" w:rsidR="003F0E15" w:rsidRDefault="00172659" w:rsidP="00BC4976">
      <w:pPr>
        <w:spacing w:after="264"/>
        <w:ind w:left="1080" w:hanging="360"/>
        <w:rPr>
          <w:rFonts w:cs="Times New Roman"/>
          <w:bCs/>
          <w:szCs w:val="24"/>
        </w:rPr>
      </w:pPr>
      <w:r>
        <w:rPr>
          <w:rFonts w:cs="Times New Roman"/>
          <w:bCs/>
          <w:szCs w:val="24"/>
        </w:rPr>
        <w:t xml:space="preserve">—  </w:t>
      </w:r>
      <w:r w:rsidRPr="00A465A3">
        <w:rPr>
          <w:rFonts w:cs="Times New Roman"/>
          <w:bCs/>
          <w:szCs w:val="24"/>
        </w:rPr>
        <w:t>The elements of a claim for breach of the implied covenant of good faith and fair dealing are: (</w:t>
      </w:r>
      <w:r>
        <w:rPr>
          <w:rFonts w:cs="Times New Roman"/>
          <w:bCs/>
          <w:szCs w:val="24"/>
        </w:rPr>
        <w:t>i</w:t>
      </w:r>
      <w:r w:rsidRPr="00A465A3">
        <w:rPr>
          <w:rFonts w:cs="Times New Roman"/>
          <w:bCs/>
          <w:szCs w:val="24"/>
        </w:rPr>
        <w:t>) the existence of a contract</w:t>
      </w:r>
      <w:r>
        <w:rPr>
          <w:rFonts w:cs="Times New Roman"/>
          <w:bCs/>
          <w:szCs w:val="24"/>
        </w:rPr>
        <w:t>;</w:t>
      </w:r>
      <w:r w:rsidRPr="00A465A3">
        <w:rPr>
          <w:rFonts w:cs="Times New Roman"/>
          <w:bCs/>
          <w:szCs w:val="24"/>
        </w:rPr>
        <w:t xml:space="preserve"> (</w:t>
      </w:r>
      <w:r>
        <w:rPr>
          <w:rFonts w:cs="Times New Roman"/>
          <w:bCs/>
          <w:szCs w:val="24"/>
        </w:rPr>
        <w:t>ii</w:t>
      </w:r>
      <w:r w:rsidRPr="00A465A3">
        <w:rPr>
          <w:rFonts w:cs="Times New Roman"/>
          <w:bCs/>
          <w:szCs w:val="24"/>
        </w:rPr>
        <w:t>) the plaintiff’s performance of the contract or excuse for nonperformance</w:t>
      </w:r>
      <w:r>
        <w:rPr>
          <w:rFonts w:cs="Times New Roman"/>
          <w:bCs/>
          <w:szCs w:val="24"/>
        </w:rPr>
        <w:t>;</w:t>
      </w:r>
      <w:r w:rsidRPr="00A465A3">
        <w:rPr>
          <w:rFonts w:cs="Times New Roman"/>
          <w:bCs/>
          <w:szCs w:val="24"/>
        </w:rPr>
        <w:t xml:space="preserve"> (</w:t>
      </w:r>
      <w:r>
        <w:rPr>
          <w:rFonts w:cs="Times New Roman"/>
          <w:bCs/>
          <w:szCs w:val="24"/>
        </w:rPr>
        <w:t>iii</w:t>
      </w:r>
      <w:r w:rsidRPr="00A465A3">
        <w:rPr>
          <w:rFonts w:cs="Times New Roman"/>
          <w:bCs/>
          <w:szCs w:val="24"/>
        </w:rPr>
        <w:t>) the conditions required for the defendant’s performance occurred or were excused</w:t>
      </w:r>
      <w:r>
        <w:rPr>
          <w:rFonts w:cs="Times New Roman"/>
          <w:bCs/>
          <w:szCs w:val="24"/>
        </w:rPr>
        <w:t xml:space="preserve">; (iv) </w:t>
      </w:r>
      <w:r w:rsidRPr="00A465A3">
        <w:rPr>
          <w:rFonts w:cs="Times New Roman"/>
          <w:bCs/>
          <w:szCs w:val="24"/>
        </w:rPr>
        <w:t>the defendant unfairly interfered with the plaintiff’s right to receive the benefits of the contract</w:t>
      </w:r>
      <w:r>
        <w:rPr>
          <w:rFonts w:cs="Times New Roman"/>
          <w:bCs/>
          <w:szCs w:val="24"/>
        </w:rPr>
        <w:t xml:space="preserve">; and (v) </w:t>
      </w:r>
      <w:r w:rsidRPr="00A465A3">
        <w:rPr>
          <w:rFonts w:cs="Times New Roman"/>
          <w:bCs/>
          <w:szCs w:val="24"/>
        </w:rPr>
        <w:t>the plaintiff was harmed.</w:t>
      </w:r>
      <w:r>
        <w:rPr>
          <w:rFonts w:cs="Times New Roman"/>
          <w:bCs/>
          <w:szCs w:val="24"/>
        </w:rPr>
        <w:t xml:space="preserve"> (</w:t>
      </w:r>
      <w:r w:rsidR="00F673AB">
        <w:rPr>
          <w:rFonts w:cs="Times New Roman"/>
          <w:bCs/>
          <w:szCs w:val="24"/>
        </w:rPr>
        <w:t xml:space="preserve">See </w:t>
      </w:r>
      <w:r w:rsidR="00F673AB" w:rsidRPr="00F673AB">
        <w:rPr>
          <w:rFonts w:cs="Times New Roman"/>
          <w:bCs/>
          <w:i/>
          <w:iCs/>
          <w:szCs w:val="24"/>
        </w:rPr>
        <w:t>Guz v. Bechtel National, Inc.</w:t>
      </w:r>
      <w:r w:rsidR="00F673AB">
        <w:rPr>
          <w:rFonts w:cs="Times New Roman"/>
          <w:bCs/>
          <w:szCs w:val="24"/>
        </w:rPr>
        <w:t xml:space="preserve"> (2000) 24 Cal.4th 317, 349-350; </w:t>
      </w:r>
      <w:r w:rsidR="00F673AB" w:rsidRPr="00F673AB">
        <w:rPr>
          <w:rFonts w:cs="Times New Roman"/>
          <w:bCs/>
          <w:i/>
          <w:iCs/>
          <w:szCs w:val="24"/>
        </w:rPr>
        <w:t>Racine &amp; Laramie, Ltd. v. Dept. of Parks &amp; Recreation</w:t>
      </w:r>
      <w:r w:rsidR="00F673AB">
        <w:rPr>
          <w:rFonts w:cs="Times New Roman"/>
          <w:bCs/>
          <w:szCs w:val="24"/>
        </w:rPr>
        <w:t xml:space="preserve"> (1992) 11 Cal.App.4</w:t>
      </w:r>
      <w:r w:rsidR="00F673AB" w:rsidRPr="00F673AB">
        <w:rPr>
          <w:rFonts w:cs="Times New Roman"/>
          <w:bCs/>
          <w:szCs w:val="24"/>
          <w:vertAlign w:val="superscript"/>
        </w:rPr>
        <w:t>th</w:t>
      </w:r>
      <w:r w:rsidR="00F673AB">
        <w:rPr>
          <w:rFonts w:cs="Times New Roman"/>
          <w:bCs/>
          <w:szCs w:val="24"/>
        </w:rPr>
        <w:t xml:space="preserve"> 1026, 1031-1032</w:t>
      </w:r>
      <w:r>
        <w:rPr>
          <w:rFonts w:cs="Times New Roman"/>
          <w:bCs/>
          <w:szCs w:val="24"/>
        </w:rPr>
        <w:t xml:space="preserve">.) </w:t>
      </w:r>
    </w:p>
    <w:p w14:paraId="3DC5938F" w14:textId="77777777" w:rsidR="003F0E15" w:rsidRDefault="00D64CF9" w:rsidP="00BC4976">
      <w:pPr>
        <w:spacing w:after="264"/>
        <w:ind w:left="1080" w:hanging="360"/>
        <w:rPr>
          <w:rFonts w:cs="Times New Roman"/>
          <w:bCs/>
          <w:szCs w:val="24"/>
        </w:rPr>
      </w:pPr>
      <w:r>
        <w:rPr>
          <w:rFonts w:cs="Times New Roman"/>
          <w:bCs/>
          <w:szCs w:val="24"/>
        </w:rPr>
        <w:t xml:space="preserve">—  </w:t>
      </w:r>
      <w:r w:rsidR="00172659" w:rsidRPr="00001C3C">
        <w:rPr>
          <w:rFonts w:cs="Times New Roman"/>
          <w:bCs/>
          <w:szCs w:val="24"/>
        </w:rPr>
        <w:t>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00172659" w:rsidRPr="00001C3C">
        <w:rPr>
          <w:rFonts w:cs="Times New Roman"/>
          <w:bCs/>
          <w:i/>
          <w:iCs/>
          <w:szCs w:val="24"/>
        </w:rPr>
        <w:t>Carma Developers (Cal.), Inc., v. Marathon Development California, Inc.</w:t>
      </w:r>
      <w:r w:rsidR="00172659" w:rsidRPr="00001C3C">
        <w:rPr>
          <w:rFonts w:cs="Times New Roman"/>
          <w:bCs/>
          <w:szCs w:val="24"/>
        </w:rPr>
        <w:t xml:space="preserve"> (1992) 2 Cal.4th 342, 372.)</w:t>
      </w:r>
      <w:r w:rsidR="00172659">
        <w:rPr>
          <w:rFonts w:cs="Times New Roman"/>
          <w:bCs/>
          <w:szCs w:val="24"/>
        </w:rPr>
        <w:t xml:space="preserve"> </w:t>
      </w:r>
      <w:r w:rsidR="00172659" w:rsidRPr="00001C3C">
        <w:rPr>
          <w:rFonts w:cs="Times New Roman"/>
          <w:bCs/>
          <w:szCs w:val="24"/>
        </w:rPr>
        <w:t>“All that is required for an implied covenant claim is the existence of a contractual or relationship between the parties. (</w:t>
      </w:r>
      <w:r w:rsidR="00172659" w:rsidRPr="00001C3C">
        <w:rPr>
          <w:rFonts w:cs="Times New Roman"/>
          <w:bCs/>
          <w:i/>
          <w:iCs/>
          <w:szCs w:val="24"/>
        </w:rPr>
        <w:t>Smith v. City and County of San Francisco</w:t>
      </w:r>
      <w:r w:rsidR="00172659" w:rsidRPr="00001C3C">
        <w:rPr>
          <w:rFonts w:cs="Times New Roman"/>
          <w:bCs/>
          <w:szCs w:val="24"/>
        </w:rPr>
        <w:t xml:space="preserve"> (1990) 225 Cal.App.3d 38, 49.) </w:t>
      </w:r>
    </w:p>
    <w:p w14:paraId="16B0D9FD" w14:textId="77777777" w:rsidR="003F0E15" w:rsidRDefault="00BF22AA" w:rsidP="00BC4976">
      <w:pPr>
        <w:spacing w:after="264"/>
        <w:ind w:left="1080" w:hanging="360"/>
        <w:rPr>
          <w:rFonts w:cs="Times New Roman"/>
          <w:bCs/>
          <w:szCs w:val="24"/>
        </w:rPr>
      </w:pPr>
      <w:r>
        <w:rPr>
          <w:rFonts w:cs="Times New Roman"/>
          <w:bCs/>
          <w:szCs w:val="24"/>
        </w:rPr>
        <w:t xml:space="preserve">—  </w:t>
      </w:r>
      <w:r w:rsidR="00172659" w:rsidRPr="00001C3C">
        <w:rPr>
          <w:rFonts w:cs="Times New Roman"/>
          <w:bCs/>
          <w:szCs w:val="24"/>
        </w:rPr>
        <w:t>The “implied covenant imposes upon each party the obligation to do everything that the contract presupposes they will do to accomplish its purpose.” (</w:t>
      </w:r>
      <w:r w:rsidR="00172659" w:rsidRPr="00001C3C">
        <w:rPr>
          <w:rFonts w:cs="Times New Roman"/>
          <w:bCs/>
          <w:i/>
          <w:iCs/>
          <w:szCs w:val="24"/>
        </w:rPr>
        <w:t>Schoolcraft v. Ross</w:t>
      </w:r>
      <w:r w:rsidR="00172659" w:rsidRPr="00001C3C">
        <w:rPr>
          <w:rFonts w:cs="Times New Roman"/>
          <w:bCs/>
          <w:szCs w:val="24"/>
        </w:rPr>
        <w:t xml:space="preserve"> (1978) 81 Cal.App.3d 75; accord </w:t>
      </w:r>
      <w:r w:rsidR="00172659" w:rsidRPr="00001C3C">
        <w:rPr>
          <w:rFonts w:cs="Times New Roman"/>
          <w:bCs/>
          <w:i/>
          <w:iCs/>
          <w:szCs w:val="24"/>
        </w:rPr>
        <w:t>Fletcher v. Western National Life Ins. Co.</w:t>
      </w:r>
      <w:r w:rsidR="00172659" w:rsidRPr="00001C3C">
        <w:rPr>
          <w:rFonts w:cs="Times New Roman"/>
          <w:bCs/>
          <w:szCs w:val="24"/>
        </w:rPr>
        <w:t xml:space="preserve"> (1970) 10 Cal.App.3d 376, 401.)</w:t>
      </w:r>
      <w:r w:rsidR="00172659">
        <w:rPr>
          <w:rFonts w:cs="Times New Roman"/>
          <w:bCs/>
          <w:szCs w:val="24"/>
        </w:rPr>
        <w:t xml:space="preserve"> </w:t>
      </w:r>
      <w:r w:rsidR="00172659" w:rsidRPr="00001C3C">
        <w:rPr>
          <w:rFonts w:cs="Times New Roman"/>
          <w:bCs/>
          <w:szCs w:val="24"/>
        </w:rPr>
        <w:t xml:space="preserve">A “breach of the implied covenant of good faith and fair dealing involves something beyond breach of the contractual </w:t>
      </w:r>
      <w:r w:rsidR="00172659" w:rsidRPr="00001C3C">
        <w:rPr>
          <w:rFonts w:cs="Times New Roman"/>
          <w:bCs/>
          <w:szCs w:val="24"/>
        </w:rPr>
        <w:lastRenderedPageBreak/>
        <w:t>duty itself.” (</w:t>
      </w:r>
      <w:r w:rsidR="00172659" w:rsidRPr="00001C3C">
        <w:rPr>
          <w:rFonts w:cs="Times New Roman"/>
          <w:bCs/>
          <w:i/>
          <w:iCs/>
          <w:szCs w:val="24"/>
        </w:rPr>
        <w:t>Congleton v. National Union Fire Ins. Co.</w:t>
      </w:r>
      <w:r w:rsidR="00172659" w:rsidRPr="00001C3C">
        <w:rPr>
          <w:rFonts w:cs="Times New Roman"/>
          <w:bCs/>
          <w:szCs w:val="24"/>
        </w:rPr>
        <w:t xml:space="preserve"> (1987) 189 Cal.App.3d 51, 59.) Indeed, “breach of a specific provision of the contract is not . . . necessary’ to a claim for breach of the implied covenant of good faith and fair dealing.” (</w:t>
      </w:r>
      <w:r w:rsidR="00172659" w:rsidRPr="00001C3C">
        <w:rPr>
          <w:rFonts w:cs="Times New Roman"/>
          <w:bCs/>
          <w:i/>
          <w:iCs/>
          <w:szCs w:val="24"/>
        </w:rPr>
        <w:t>Thrifty Payless, Inc. v. The Americana at Brand, LLC</w:t>
      </w:r>
      <w:r w:rsidR="00172659" w:rsidRPr="00001C3C">
        <w:rPr>
          <w:rFonts w:cs="Times New Roman"/>
          <w:bCs/>
          <w:szCs w:val="24"/>
        </w:rPr>
        <w:t xml:space="preserve"> (2013) 218 Cal.App.4th 1230, 1244.)</w:t>
      </w:r>
      <w:r w:rsidR="00172659">
        <w:rPr>
          <w:rFonts w:cs="Times New Roman"/>
          <w:bCs/>
          <w:szCs w:val="24"/>
        </w:rPr>
        <w:t xml:space="preserve"> </w:t>
      </w:r>
      <w:r w:rsidR="00172659" w:rsidRPr="00001C3C">
        <w:rPr>
          <w:rFonts w:cs="Times New Roman"/>
          <w:bCs/>
          <w:szCs w:val="24"/>
        </w:rPr>
        <w:t xml:space="preserve">An association’s duty of good faith extends to each member individually. (See </w:t>
      </w:r>
      <w:r w:rsidR="00172659" w:rsidRPr="00001C3C">
        <w:rPr>
          <w:rFonts w:cs="Times New Roman"/>
          <w:bCs/>
          <w:i/>
          <w:iCs/>
          <w:szCs w:val="24"/>
        </w:rPr>
        <w:t>Cohen v. Kite Hill Community Assn.</w:t>
      </w:r>
      <w:r w:rsidR="00172659" w:rsidRPr="00001C3C">
        <w:rPr>
          <w:rFonts w:cs="Times New Roman"/>
          <w:bCs/>
          <w:szCs w:val="24"/>
        </w:rPr>
        <w:t xml:space="preserve"> (1983) 142 Cal.App.3d 642.)</w:t>
      </w:r>
      <w:r w:rsidR="00172659">
        <w:rPr>
          <w:rFonts w:cs="Times New Roman"/>
          <w:bCs/>
          <w:szCs w:val="24"/>
        </w:rPr>
        <w:t xml:space="preserve"> </w:t>
      </w:r>
      <w:r w:rsidR="00172659" w:rsidRPr="00001C3C">
        <w:rPr>
          <w:rFonts w:cs="Times New Roman"/>
          <w:bCs/>
          <w:szCs w:val="24"/>
        </w:rPr>
        <w:t>The essence of the good faith covenant is objectively reasonable conduct. (</w:t>
      </w:r>
      <w:r w:rsidR="00172659" w:rsidRPr="00001C3C">
        <w:rPr>
          <w:rFonts w:cs="Times New Roman"/>
          <w:bCs/>
          <w:i/>
          <w:iCs/>
          <w:szCs w:val="24"/>
        </w:rPr>
        <w:t>Badie v. Bank of America</w:t>
      </w:r>
      <w:r w:rsidR="00172659" w:rsidRPr="00001C3C">
        <w:rPr>
          <w:rFonts w:cs="Times New Roman"/>
          <w:bCs/>
          <w:szCs w:val="24"/>
        </w:rPr>
        <w:t xml:space="preserve"> (1998) 67 Cal.App.4th 779.)</w:t>
      </w:r>
    </w:p>
    <w:p w14:paraId="4C0F2145" w14:textId="77777777" w:rsidR="003F0E15" w:rsidRDefault="00F504AE" w:rsidP="00BC4976">
      <w:pPr>
        <w:spacing w:after="264"/>
        <w:ind w:left="1080" w:hanging="360"/>
        <w:rPr>
          <w:rFonts w:cs="Times New Roman"/>
          <w:bCs/>
          <w:szCs w:val="24"/>
        </w:rPr>
      </w:pPr>
      <w:r>
        <w:rPr>
          <w:rFonts w:cs="Times New Roman"/>
          <w:bCs/>
          <w:szCs w:val="24"/>
        </w:rPr>
        <w:t xml:space="preserve">—  </w:t>
      </w:r>
      <w:r w:rsidRPr="00F504AE">
        <w:rPr>
          <w:rFonts w:cs="Times New Roman"/>
          <w:bCs/>
          <w:szCs w:val="24"/>
        </w:rPr>
        <w:t>The duty of a contracting party under the covenant of good faith and fair dealing is to act in a commercially reasonable manner. (</w:t>
      </w:r>
      <w:r w:rsidRPr="00F504AE">
        <w:rPr>
          <w:rFonts w:cs="Times New Roman"/>
          <w:bCs/>
          <w:i/>
          <w:iCs/>
          <w:szCs w:val="24"/>
        </w:rPr>
        <w:t>California Pines Property Owners Assn. v. Pedotti</w:t>
      </w:r>
      <w:r w:rsidRPr="00F504AE">
        <w:rPr>
          <w:rFonts w:cs="Times New Roman"/>
          <w:bCs/>
          <w:szCs w:val="24"/>
        </w:rPr>
        <w:t xml:space="preserve"> (2012) 206 Cal.App.4th 384, 394-396; </w:t>
      </w:r>
      <w:r w:rsidRPr="00F504AE">
        <w:rPr>
          <w:rFonts w:cs="Times New Roman"/>
          <w:bCs/>
          <w:i/>
          <w:iCs/>
          <w:szCs w:val="24"/>
        </w:rPr>
        <w:t>Badie v. Bank of America</w:t>
      </w:r>
      <w:r w:rsidRPr="00F504AE">
        <w:rPr>
          <w:rFonts w:cs="Times New Roman"/>
          <w:bCs/>
          <w:szCs w:val="24"/>
        </w:rPr>
        <w:t xml:space="preserve"> (1998) 67 Cal.App.4th 779.)</w:t>
      </w:r>
    </w:p>
    <w:p w14:paraId="64E5FB5E" w14:textId="77777777" w:rsidR="003F0E15" w:rsidRDefault="004F4C71" w:rsidP="00BC4976">
      <w:pPr>
        <w:spacing w:after="264"/>
        <w:ind w:left="1080" w:hanging="360"/>
        <w:rPr>
          <w:rFonts w:cs="Times New Roman"/>
          <w:bCs/>
          <w:szCs w:val="24"/>
        </w:rPr>
      </w:pPr>
      <w:r>
        <w:rPr>
          <w:rFonts w:cs="Times New Roman"/>
          <w:bCs/>
          <w:szCs w:val="24"/>
        </w:rPr>
        <w:t xml:space="preserve">—  While </w:t>
      </w:r>
      <w:r>
        <w:rPr>
          <w:rFonts w:cs="Times New Roman"/>
          <w:bCs/>
          <w:i/>
          <w:iCs/>
          <w:szCs w:val="24"/>
        </w:rPr>
        <w:t>tortious</w:t>
      </w:r>
      <w:r>
        <w:rPr>
          <w:rFonts w:cs="Times New Roman"/>
          <w:bCs/>
          <w:szCs w:val="24"/>
        </w:rPr>
        <w:t xml:space="preserve"> breach of the implied covenant is generally restricted to the insurance context, it is possible to establish such a breach </w:t>
      </w:r>
      <w:r>
        <w:rPr>
          <w:rFonts w:cs="Times New Roman"/>
          <w:bCs/>
          <w:i/>
          <w:iCs/>
          <w:szCs w:val="24"/>
        </w:rPr>
        <w:t>outside</w:t>
      </w:r>
      <w:r>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Pr>
          <w:rFonts w:cs="Times New Roman"/>
          <w:bCs/>
          <w:i/>
          <w:iCs/>
          <w:szCs w:val="24"/>
        </w:rPr>
        <w:t>Erlich v. Menezes</w:t>
      </w:r>
      <w:r>
        <w:rPr>
          <w:rFonts w:cs="Times New Roman"/>
          <w:bCs/>
          <w:szCs w:val="24"/>
        </w:rPr>
        <w:t xml:space="preserve"> (1999) 21 Cal.4th 779.)</w:t>
      </w:r>
    </w:p>
    <w:p w14:paraId="3D170D68"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5CF85E2C" w14:textId="77777777" w:rsidR="003F0E15" w:rsidRDefault="00805A7D" w:rsidP="00F9522E">
      <w:pPr>
        <w:spacing w:after="264"/>
        <w:ind w:left="1080" w:hanging="360"/>
        <w:rPr>
          <w:rFonts w:cs="Times New Roman"/>
          <w:bCs/>
          <w:szCs w:val="24"/>
        </w:rPr>
      </w:pPr>
      <w:r>
        <w:rPr>
          <w:rFonts w:cs="Times New Roman"/>
          <w:bCs/>
          <w:szCs w:val="24"/>
        </w:rPr>
        <w:t xml:space="preserve">—  </w:t>
      </w:r>
      <w:r w:rsidR="00F9522E" w:rsidRPr="005A460C">
        <w:rPr>
          <w:rFonts w:cs="Times New Roman"/>
          <w:bCs/>
          <w:szCs w:val="24"/>
        </w:rPr>
        <w:t xml:space="preserve">General contractual remedies are available, including compensatory </w:t>
      </w:r>
      <w:r w:rsidR="00F9522E">
        <w:rPr>
          <w:rFonts w:cs="Times New Roman"/>
          <w:bCs/>
          <w:szCs w:val="24"/>
        </w:rPr>
        <w:t xml:space="preserve">(money) </w:t>
      </w:r>
      <w:r w:rsidR="00F9522E" w:rsidRPr="005A460C">
        <w:rPr>
          <w:rFonts w:cs="Times New Roman"/>
          <w:bCs/>
          <w:szCs w:val="24"/>
        </w:rPr>
        <w:t xml:space="preserve">damages. (Civ. Code, § 3300.) </w:t>
      </w:r>
      <w:r w:rsidR="00F9522E" w:rsidRPr="00D60941">
        <w:rPr>
          <w:rFonts w:cs="Times New Roman"/>
          <w:bCs/>
          <w:szCs w:val="24"/>
        </w:rPr>
        <w:t xml:space="preserve"> </w:t>
      </w:r>
    </w:p>
    <w:p w14:paraId="543636A2" w14:textId="77777777" w:rsidR="003F0E15" w:rsidRDefault="00F9522E" w:rsidP="00F9522E">
      <w:pPr>
        <w:spacing w:after="264"/>
        <w:ind w:left="1080" w:hanging="360"/>
        <w:rPr>
          <w:rFonts w:cs="Times New Roman"/>
          <w:bCs/>
          <w:szCs w:val="24"/>
        </w:rPr>
      </w:pPr>
      <w:r>
        <w:rPr>
          <w:rFonts w:cs="Times New Roman"/>
          <w:bCs/>
          <w:szCs w:val="24"/>
        </w:rPr>
        <w:t xml:space="preserve">—  </w:t>
      </w:r>
      <w:r w:rsidRPr="005A460C">
        <w:rPr>
          <w:rFonts w:cs="Times New Roman"/>
          <w:bCs/>
          <w:szCs w:val="24"/>
        </w:rPr>
        <w:t>Tort damages are generally unavailable for real estate related matters other than leases and wrongful eviction claims that are classified as torts. (</w:t>
      </w:r>
      <w:r w:rsidRPr="005A460C">
        <w:rPr>
          <w:rFonts w:cs="Times New Roman"/>
          <w:bCs/>
          <w:i/>
          <w:iCs/>
          <w:szCs w:val="24"/>
        </w:rPr>
        <w:t>Ginsburg v. Gamson</w:t>
      </w:r>
      <w:r w:rsidRPr="005A460C">
        <w:rPr>
          <w:rFonts w:cs="Times New Roman"/>
          <w:bCs/>
          <w:szCs w:val="24"/>
        </w:rPr>
        <w:t xml:space="preserve"> (2012) 205 Cal.App.4th 873.)</w:t>
      </w:r>
    </w:p>
    <w:p w14:paraId="67AD2B29"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1CE8486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667D9226" w14:textId="77777777" w:rsidR="003F0E15" w:rsidRDefault="00CE6FC7" w:rsidP="00CE6FC7">
      <w:pPr>
        <w:spacing w:after="264"/>
        <w:ind w:left="1080" w:hanging="360"/>
        <w:rPr>
          <w:rFonts w:cs="Times New Roman"/>
          <w:bCs/>
          <w:szCs w:val="24"/>
        </w:rPr>
      </w:pPr>
      <w:r>
        <w:rPr>
          <w:rFonts w:cs="Times New Roman"/>
          <w:bCs/>
          <w:szCs w:val="24"/>
        </w:rPr>
        <w:t xml:space="preserve">—  </w:t>
      </w:r>
      <w:r w:rsidR="009F1A7F">
        <w:rPr>
          <w:rFonts w:cs="Times New Roman"/>
          <w:bCs/>
          <w:szCs w:val="24"/>
        </w:rPr>
        <w:t>Same as breach of contract</w:t>
      </w:r>
      <w:r w:rsidR="002E2E40">
        <w:rPr>
          <w:rFonts w:cs="Times New Roman"/>
          <w:bCs/>
          <w:szCs w:val="24"/>
        </w:rPr>
        <w:t>. Four years for written contract (Code Civ. Proc., § 337), two years for oral contract (Code Civ. Proc., § 339), and six years for negotiable instrument (e.g., promissory note) (Comm. Code, § 3118).</w:t>
      </w:r>
    </w:p>
    <w:p w14:paraId="52942B2C" w14:textId="77777777" w:rsidR="003F0E15" w:rsidRDefault="00EB3A33" w:rsidP="00EB3A33">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26BA966D" w14:textId="77777777" w:rsidR="003F0E15" w:rsidRDefault="00EB3A33" w:rsidP="00EB3A33">
      <w:pPr>
        <w:spacing w:after="264"/>
        <w:ind w:left="1080" w:hanging="360"/>
        <w:rPr>
          <w:rFonts w:cs="Times New Roman"/>
          <w:bCs/>
          <w:szCs w:val="24"/>
        </w:rPr>
      </w:pPr>
      <w:r>
        <w:rPr>
          <w:rFonts w:cs="Times New Roman"/>
          <w:bCs/>
          <w:szCs w:val="24"/>
          <w:highlight w:val="green"/>
        </w:rPr>
        <w:lastRenderedPageBreak/>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the implied covenant</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583DE96B" w14:textId="77777777" w:rsidR="003F0E15" w:rsidRDefault="00EB3A33" w:rsidP="00EB3A33">
      <w:pPr>
        <w:spacing w:after="264"/>
        <w:ind w:left="1080" w:hanging="360"/>
        <w:rPr>
          <w:rFonts w:cs="Times New Roman"/>
          <w:bCs/>
          <w:szCs w:val="24"/>
          <w:highlight w:val="green"/>
        </w:rPr>
      </w:pPr>
      <w:r w:rsidRPr="002D206C">
        <w:rPr>
          <w:rFonts w:cs="Times New Roman"/>
          <w:bCs/>
          <w:szCs w:val="24"/>
          <w:highlight w:val="green"/>
        </w:rPr>
        <w:t>—  ***</w:t>
      </w:r>
    </w:p>
    <w:p w14:paraId="12322A09" w14:textId="77777777" w:rsidR="003F0E15" w:rsidRDefault="00EB3A33" w:rsidP="00EB3A33">
      <w:pPr>
        <w:spacing w:after="264"/>
        <w:ind w:left="720"/>
        <w:rPr>
          <w:rFonts w:cs="Times New Roman"/>
          <w:bCs/>
          <w:szCs w:val="24"/>
        </w:rPr>
      </w:pPr>
      <w:r w:rsidRPr="002D206C">
        <w:rPr>
          <w:rFonts w:cs="Times New Roman"/>
          <w:bCs/>
          <w:szCs w:val="24"/>
          <w:highlight w:val="green"/>
        </w:rPr>
        <w:t>—  ***</w:t>
      </w:r>
    </w:p>
    <w:p w14:paraId="2D7686CD"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1D489DBD"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F5EA5A4"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Osseous Technologies of America, Inc. v. DiscoveryOrtho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6CDE733A" w14:textId="77777777" w:rsidR="003F0E15" w:rsidRDefault="00364122" w:rsidP="00364122">
      <w:pPr>
        <w:spacing w:after="264"/>
        <w:ind w:left="1080" w:hanging="360"/>
        <w:rPr>
          <w:rStyle w:val="property1"/>
          <w:rFonts w:eastAsia="Times New Roman" w:cs="Times New Roman"/>
          <w:szCs w:val="24"/>
        </w:rPr>
      </w:pPr>
      <w:r>
        <w:rPr>
          <w:rFonts w:cs="Times New Roman"/>
          <w:bCs/>
          <w:szCs w:val="24"/>
        </w:rPr>
        <w:t>—  The “enforcement” issue</w:t>
      </w:r>
      <w:r w:rsidR="00CD0C1E">
        <w:rPr>
          <w:rFonts w:cs="Times New Roman"/>
          <w:bCs/>
          <w:szCs w:val="24"/>
        </w:rPr>
        <w:t>s</w:t>
      </w:r>
      <w:r>
        <w:rPr>
          <w:rFonts w:cs="Times New Roman"/>
          <w:bCs/>
          <w:szCs w:val="24"/>
        </w:rPr>
        <w:t xml:space="preserve"> discussed in the </w:t>
      </w:r>
      <w:r w:rsidR="003D0844">
        <w:rPr>
          <w:rFonts w:cs="Times New Roman"/>
          <w:bCs/>
          <w:szCs w:val="24"/>
        </w:rPr>
        <w:t xml:space="preserve">context of the </w:t>
      </w:r>
      <w:r>
        <w:rPr>
          <w:rFonts w:cs="Times New Roman"/>
          <w:bCs/>
          <w:szCs w:val="24"/>
        </w:rPr>
        <w:t xml:space="preserve">“Breach of CC&amp;Rs” </w:t>
      </w:r>
      <w:r w:rsidR="00F22C21">
        <w:rPr>
          <w:rFonts w:cs="Times New Roman"/>
          <w:bCs/>
          <w:szCs w:val="24"/>
        </w:rPr>
        <w:t xml:space="preserve">and “Negligence” </w:t>
      </w:r>
      <w:r>
        <w:rPr>
          <w:rFonts w:cs="Times New Roman"/>
          <w:bCs/>
          <w:szCs w:val="24"/>
        </w:rPr>
        <w:t>cause</w:t>
      </w:r>
      <w:r w:rsidR="00F22C21">
        <w:rPr>
          <w:rFonts w:cs="Times New Roman"/>
          <w:bCs/>
          <w:szCs w:val="24"/>
        </w:rPr>
        <w:t>s</w:t>
      </w:r>
      <w:r>
        <w:rPr>
          <w:rFonts w:cs="Times New Roman"/>
          <w:bCs/>
          <w:szCs w:val="24"/>
        </w:rPr>
        <w:t xml:space="preserve"> of action above </w:t>
      </w:r>
      <w:r w:rsidR="00CD0C1E">
        <w:rPr>
          <w:rFonts w:cs="Times New Roman"/>
          <w:bCs/>
          <w:szCs w:val="24"/>
        </w:rPr>
        <w:t>are</w:t>
      </w:r>
      <w:r>
        <w:rPr>
          <w:rFonts w:cs="Times New Roman"/>
          <w:bCs/>
          <w:szCs w:val="24"/>
        </w:rPr>
        <w:t xml:space="preserve"> </w:t>
      </w:r>
      <w:r w:rsidR="00F110B2">
        <w:rPr>
          <w:rFonts w:cs="Times New Roman"/>
          <w:bCs/>
          <w:szCs w:val="24"/>
        </w:rPr>
        <w:t xml:space="preserve">also </w:t>
      </w:r>
      <w:r>
        <w:rPr>
          <w:rFonts w:cs="Times New Roman"/>
          <w:bCs/>
          <w:szCs w:val="24"/>
        </w:rPr>
        <w:t xml:space="preserve">applicable </w:t>
      </w:r>
      <w:r w:rsidR="003D0844">
        <w:rPr>
          <w:rFonts w:cs="Times New Roman"/>
          <w:bCs/>
          <w:szCs w:val="24"/>
        </w:rPr>
        <w:t>to</w:t>
      </w:r>
      <w:r>
        <w:rPr>
          <w:rFonts w:cs="Times New Roman"/>
          <w:bCs/>
          <w:szCs w:val="24"/>
        </w:rPr>
        <w:t xml:space="preserve"> a </w:t>
      </w:r>
      <w:r w:rsidR="00F22C21">
        <w:rPr>
          <w:rFonts w:cs="Times New Roman"/>
          <w:bCs/>
          <w:szCs w:val="24"/>
        </w:rPr>
        <w:t>declaratory relief</w:t>
      </w:r>
      <w:r>
        <w:rPr>
          <w:rFonts w:cs="Times New Roman"/>
          <w:bCs/>
          <w:szCs w:val="24"/>
        </w:rPr>
        <w:t xml:space="preserve"> </w:t>
      </w:r>
      <w:r w:rsidR="00F110B2">
        <w:rPr>
          <w:rFonts w:cs="Times New Roman"/>
          <w:bCs/>
          <w:szCs w:val="24"/>
        </w:rPr>
        <w:t>claim</w:t>
      </w:r>
      <w:r>
        <w:rPr>
          <w:rFonts w:cs="Times New Roman"/>
          <w:bCs/>
          <w:szCs w:val="24"/>
        </w:rPr>
        <w:t>.</w:t>
      </w:r>
    </w:p>
    <w:p w14:paraId="59C77E26" w14:textId="77777777" w:rsidR="003F0E15" w:rsidRDefault="00AE77A7" w:rsidP="0028185A">
      <w:pPr>
        <w:spacing w:after="264"/>
        <w:ind w:left="1080" w:hanging="360"/>
        <w:rPr>
          <w:rFonts w:cs="Times New Roman"/>
          <w:bCs/>
          <w:szCs w:val="24"/>
        </w:rPr>
      </w:pPr>
      <w:r>
        <w:rPr>
          <w:rFonts w:cs="Times New Roman"/>
          <w:bCs/>
          <w:szCs w:val="24"/>
        </w:rPr>
        <w:t>—  The “failure to maintain” issue discussed in the context of the “Breach of CC&amp;Rs,” “Negligence,” and “Nuisance” causes of action above is also applicable in the context of a claim for declaratory relief.</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0D219544" w14:textId="77777777" w:rsidR="003F0E15" w:rsidRDefault="000542B9" w:rsidP="00E13C80">
      <w:pPr>
        <w:pStyle w:val="Heading2"/>
        <w:spacing w:after="264"/>
      </w:pPr>
      <w:r w:rsidRPr="00274E8F">
        <w:fldChar w:fldCharType="begin"/>
      </w:r>
      <w:r w:rsidRPr="00274E8F">
        <w:instrText xml:space="preserve"> LISTNUM LegalDefault \l 2 </w:instrText>
      </w:r>
      <w:r w:rsidRPr="00274E8F">
        <w:fldChar w:fldCharType="end"/>
      </w:r>
      <w:r w:rsidR="00146EC3">
        <w:br/>
      </w:r>
      <w:r w:rsidRPr="000542B9">
        <w:t>Failure to Permit Inspection of Record</w:t>
      </w:r>
      <w:r>
        <w:t>s</w:t>
      </w:r>
    </w:p>
    <w:p w14:paraId="1EFFF759" w14:textId="77777777" w:rsidR="003F0E15" w:rsidRDefault="000542B9" w:rsidP="000542B9">
      <w:pPr>
        <w:spacing w:after="264"/>
        <w:rPr>
          <w:rFonts w:cs="Times New Roman"/>
          <w:bCs/>
          <w:szCs w:val="24"/>
        </w:rPr>
      </w:pPr>
      <w:r w:rsidRPr="00CB10A8">
        <w:rPr>
          <w:rFonts w:cs="Times New Roman"/>
          <w:bCs/>
          <w:szCs w:val="24"/>
          <w:u w:val="single"/>
        </w:rPr>
        <w:t>Elements</w:t>
      </w:r>
      <w:r>
        <w:rPr>
          <w:rFonts w:cs="Times New Roman"/>
          <w:bCs/>
          <w:szCs w:val="24"/>
        </w:rPr>
        <w:t>—</w:t>
      </w:r>
      <w:r w:rsidRPr="000542B9">
        <w:rPr>
          <w:rFonts w:cs="Times New Roman"/>
          <w:bCs/>
          <w:szCs w:val="24"/>
        </w:rPr>
        <w:t>Failure to Permit Inspection of Record</w:t>
      </w:r>
      <w:r>
        <w:rPr>
          <w:rFonts w:cs="Times New Roman"/>
          <w:bCs/>
          <w:szCs w:val="24"/>
        </w:rPr>
        <w:t>s.</w:t>
      </w:r>
    </w:p>
    <w:p w14:paraId="6E221EA4" w14:textId="77777777" w:rsidR="003F0E15" w:rsidRDefault="000542B9" w:rsidP="000542B9">
      <w:pPr>
        <w:spacing w:after="264"/>
        <w:ind w:left="1080" w:hanging="360"/>
        <w:rPr>
          <w:rFonts w:cs="Times New Roman"/>
          <w:bCs/>
          <w:szCs w:val="24"/>
        </w:rPr>
      </w:pPr>
      <w:r>
        <w:rPr>
          <w:rFonts w:cs="Times New Roman"/>
          <w:bCs/>
          <w:szCs w:val="24"/>
        </w:rPr>
        <w:t xml:space="preserve">—  </w:t>
      </w:r>
      <w:r w:rsidR="00B84E98" w:rsidRPr="00B84E98">
        <w:rPr>
          <w:rFonts w:cs="Times New Roman"/>
          <w:bCs/>
          <w:szCs w:val="24"/>
        </w:rPr>
        <w:t xml:space="preserve">To prevail on a claim for failing to allow the plaintiff to inspect the </w:t>
      </w:r>
      <w:r w:rsidR="00B84E98">
        <w:rPr>
          <w:rFonts w:cs="Times New Roman"/>
          <w:bCs/>
          <w:szCs w:val="24"/>
        </w:rPr>
        <w:t>HOA’s</w:t>
      </w:r>
      <w:r w:rsidR="00B84E98" w:rsidRPr="00B84E98">
        <w:rPr>
          <w:rFonts w:cs="Times New Roman"/>
          <w:bCs/>
          <w:szCs w:val="24"/>
        </w:rPr>
        <w:t xml:space="preserve"> records, the plaintiff must prove that</w:t>
      </w:r>
      <w:r w:rsidR="00B84E98">
        <w:rPr>
          <w:rFonts w:cs="Times New Roman"/>
          <w:bCs/>
          <w:szCs w:val="24"/>
        </w:rPr>
        <w:t>:</w:t>
      </w:r>
      <w:r w:rsidR="00B84E98" w:rsidRPr="00B84E98">
        <w:rPr>
          <w:rFonts w:cs="Times New Roman"/>
          <w:bCs/>
          <w:szCs w:val="24"/>
        </w:rPr>
        <w:t xml:space="preserve"> (i) </w:t>
      </w:r>
      <w:r w:rsidR="00B84E98">
        <w:rPr>
          <w:rFonts w:cs="Times New Roman"/>
          <w:bCs/>
          <w:szCs w:val="24"/>
        </w:rPr>
        <w:t>he or she</w:t>
      </w:r>
      <w:r w:rsidR="00B84E98" w:rsidRPr="00B84E98">
        <w:rPr>
          <w:rFonts w:cs="Times New Roman"/>
          <w:bCs/>
          <w:szCs w:val="24"/>
        </w:rPr>
        <w:t xml:space="preserve"> is a member of the association; (ii) </w:t>
      </w:r>
      <w:r w:rsidR="00B84E98">
        <w:rPr>
          <w:rFonts w:cs="Times New Roman"/>
          <w:bCs/>
          <w:szCs w:val="24"/>
        </w:rPr>
        <w:t xml:space="preserve">he or she made a written request to the HOA that it make </w:t>
      </w:r>
      <w:r w:rsidR="00B84E98" w:rsidRPr="00B84E98">
        <w:rPr>
          <w:rFonts w:cs="Times New Roman"/>
          <w:bCs/>
          <w:szCs w:val="24"/>
        </w:rPr>
        <w:t xml:space="preserve">its records available for inspection; (iii) </w:t>
      </w:r>
      <w:r w:rsidR="00B84E98">
        <w:rPr>
          <w:rFonts w:cs="Times New Roman"/>
          <w:bCs/>
          <w:szCs w:val="24"/>
        </w:rPr>
        <w:t>he or she</w:t>
      </w:r>
      <w:r w:rsidR="00B84E98" w:rsidRPr="00B84E98">
        <w:rPr>
          <w:rFonts w:cs="Times New Roman"/>
          <w:bCs/>
          <w:szCs w:val="24"/>
        </w:rPr>
        <w:t xml:space="preserve"> had </w:t>
      </w:r>
      <w:r w:rsidR="00B84E98">
        <w:rPr>
          <w:rFonts w:cs="Times New Roman"/>
          <w:bCs/>
          <w:szCs w:val="24"/>
        </w:rPr>
        <w:t xml:space="preserve">a </w:t>
      </w:r>
      <w:r w:rsidR="00B84E98" w:rsidRPr="00B84E98">
        <w:rPr>
          <w:rFonts w:cs="Times New Roman"/>
          <w:bCs/>
          <w:szCs w:val="24"/>
        </w:rPr>
        <w:t xml:space="preserve">proper purpose for requesting to inspect the records related to his or her interests as an HOA member; and (iv) </w:t>
      </w:r>
      <w:r w:rsidR="00B84E98">
        <w:rPr>
          <w:rFonts w:cs="Times New Roman"/>
          <w:bCs/>
          <w:szCs w:val="24"/>
        </w:rPr>
        <w:t xml:space="preserve">the HOA </w:t>
      </w:r>
      <w:r w:rsidR="00B84E98" w:rsidRPr="00B84E98">
        <w:rPr>
          <w:rFonts w:cs="Times New Roman"/>
          <w:bCs/>
          <w:szCs w:val="24"/>
        </w:rPr>
        <w:t>either (a) refused to allow the inspection, (b) ignored the plaintiff’s request, or (c) did not make all permitted and requested records available. (Civ. Code, § 5200 et seq.)</w:t>
      </w:r>
      <w:r w:rsidRPr="0012753E">
        <w:rPr>
          <w:rFonts w:cs="Times New Roman"/>
          <w:bCs/>
          <w:szCs w:val="24"/>
        </w:rPr>
        <w:t xml:space="preserve"> </w:t>
      </w:r>
    </w:p>
    <w:p w14:paraId="1242F111" w14:textId="77777777" w:rsidR="003F0E15" w:rsidRDefault="000542B9" w:rsidP="000542B9">
      <w:pPr>
        <w:spacing w:after="264"/>
        <w:rPr>
          <w:rFonts w:cs="Times New Roman"/>
          <w:bCs/>
          <w:szCs w:val="24"/>
        </w:rPr>
      </w:pPr>
      <w:r>
        <w:rPr>
          <w:rFonts w:cs="Times New Roman"/>
          <w:bCs/>
          <w:szCs w:val="24"/>
          <w:u w:val="single"/>
        </w:rPr>
        <w:t>Remedies</w:t>
      </w:r>
      <w:r>
        <w:rPr>
          <w:rFonts w:cs="Times New Roman"/>
          <w:bCs/>
          <w:szCs w:val="24"/>
        </w:rPr>
        <w:t>—</w:t>
      </w:r>
    </w:p>
    <w:p w14:paraId="46EFF889" w14:textId="77777777" w:rsidR="003F0E15" w:rsidRDefault="000542B9" w:rsidP="000542B9">
      <w:pPr>
        <w:spacing w:after="264"/>
        <w:ind w:left="1080" w:hanging="360"/>
        <w:rPr>
          <w:rFonts w:cs="Times New Roman"/>
          <w:bCs/>
          <w:szCs w:val="24"/>
        </w:rPr>
      </w:pPr>
      <w:r w:rsidRPr="00311139">
        <w:rPr>
          <w:rFonts w:cs="Times New Roman"/>
          <w:bCs/>
          <w:szCs w:val="24"/>
        </w:rPr>
        <w:t xml:space="preserve">—  </w:t>
      </w:r>
      <w:r w:rsidR="00C000DB" w:rsidRPr="00C000DB">
        <w:rPr>
          <w:rFonts w:cs="Times New Roman"/>
          <w:bCs/>
          <w:szCs w:val="24"/>
        </w:rPr>
        <w:t>If the plaintiff can prove that the HOA failed to allow him or her to inspect the records, the plaintiff can obtain injunctive relief ordering the HOA to allow the inspection. Additionally, if the HOA’s refusal</w:t>
      </w:r>
      <w:r w:rsidR="00C000DB">
        <w:rPr>
          <w:rFonts w:cs="Times New Roman"/>
          <w:bCs/>
          <w:szCs w:val="24"/>
        </w:rPr>
        <w:t xml:space="preserve"> is deemed to have been </w:t>
      </w:r>
      <w:r w:rsidR="00C000DB" w:rsidRPr="00C000DB">
        <w:rPr>
          <w:rFonts w:cs="Times New Roman"/>
          <w:bCs/>
          <w:szCs w:val="24"/>
        </w:rPr>
        <w:t>unreasonable, the plaintiff may be entitled to a civil penalty of up to $500 for each separate request that was denied</w:t>
      </w:r>
      <w:r w:rsidR="00C000DB">
        <w:rPr>
          <w:rFonts w:cs="Times New Roman"/>
          <w:bCs/>
          <w:szCs w:val="24"/>
        </w:rPr>
        <w:t xml:space="preserve">, as well as all of his or her attorneys’ fees and costs. </w:t>
      </w:r>
      <w:r w:rsidR="00C000DB" w:rsidRPr="00C000DB">
        <w:rPr>
          <w:rFonts w:cs="Times New Roman"/>
          <w:bCs/>
          <w:szCs w:val="24"/>
        </w:rPr>
        <w:t>(Civ. Code, § 5235(a).)</w:t>
      </w:r>
    </w:p>
    <w:p w14:paraId="4E8E0E75" w14:textId="77777777" w:rsidR="003F0E15" w:rsidRDefault="00C000DB" w:rsidP="000542B9">
      <w:pPr>
        <w:spacing w:after="264"/>
        <w:ind w:left="1080" w:hanging="360"/>
        <w:rPr>
          <w:rFonts w:cs="Times New Roman"/>
          <w:bCs/>
          <w:szCs w:val="24"/>
        </w:rPr>
      </w:pPr>
      <w:r>
        <w:rPr>
          <w:rFonts w:cs="Times New Roman"/>
          <w:bCs/>
          <w:szCs w:val="24"/>
        </w:rPr>
        <w:t xml:space="preserve">—  </w:t>
      </w:r>
      <w:r w:rsidRPr="00C000DB">
        <w:rPr>
          <w:rFonts w:cs="Times New Roman"/>
          <w:bCs/>
          <w:szCs w:val="24"/>
        </w:rPr>
        <w:t>Given the potentially low value of this claim, it likely needs to be brought in small claims court if it is the plaintiff’s only cause of action. (Civ. Code, § 5235(b).)</w:t>
      </w:r>
    </w:p>
    <w:p w14:paraId="76F9205D" w14:textId="77777777" w:rsidR="003F0E15" w:rsidRDefault="00C000DB" w:rsidP="000542B9">
      <w:pPr>
        <w:spacing w:after="264"/>
        <w:ind w:left="1080" w:hanging="360"/>
        <w:rPr>
          <w:rFonts w:cs="Times New Roman"/>
          <w:bCs/>
          <w:szCs w:val="24"/>
        </w:rPr>
      </w:pPr>
      <w:r>
        <w:rPr>
          <w:rFonts w:cs="Times New Roman"/>
          <w:bCs/>
          <w:szCs w:val="24"/>
        </w:rPr>
        <w:t xml:space="preserve">—  </w:t>
      </w:r>
      <w:r w:rsidRPr="00C000DB">
        <w:rPr>
          <w:rFonts w:cs="Times New Roman"/>
          <w:bCs/>
          <w:szCs w:val="24"/>
        </w:rPr>
        <w:t xml:space="preserve">An HOA may recover its fees and costs if the court determines that </w:t>
      </w:r>
      <w:r>
        <w:rPr>
          <w:rFonts w:cs="Times New Roman"/>
          <w:bCs/>
          <w:szCs w:val="24"/>
        </w:rPr>
        <w:t>the</w:t>
      </w:r>
      <w:r w:rsidRPr="00C000DB">
        <w:rPr>
          <w:rFonts w:cs="Times New Roman"/>
          <w:bCs/>
          <w:szCs w:val="24"/>
        </w:rPr>
        <w:t xml:space="preserve"> claim was frivolous, unreasonable, or without foundation. (Civ. Code, § 5235(c).)</w:t>
      </w:r>
    </w:p>
    <w:p w14:paraId="273D0ADA" w14:textId="77777777" w:rsidR="003F0E15" w:rsidRDefault="000542B9" w:rsidP="000542B9">
      <w:pPr>
        <w:spacing w:after="264"/>
        <w:rPr>
          <w:rFonts w:cs="Times New Roman"/>
          <w:bCs/>
          <w:szCs w:val="24"/>
        </w:rPr>
      </w:pPr>
      <w:r>
        <w:rPr>
          <w:rFonts w:cs="Times New Roman"/>
          <w:bCs/>
          <w:szCs w:val="24"/>
          <w:u w:val="single"/>
        </w:rPr>
        <w:t>Applicable Statute of Limitations</w:t>
      </w:r>
      <w:r>
        <w:rPr>
          <w:rFonts w:cs="Times New Roman"/>
          <w:bCs/>
          <w:szCs w:val="24"/>
        </w:rPr>
        <w:t>—</w:t>
      </w:r>
    </w:p>
    <w:p w14:paraId="0F45D13C" w14:textId="77777777" w:rsidR="003F0E15" w:rsidRDefault="000542B9" w:rsidP="000542B9">
      <w:pPr>
        <w:spacing w:after="264"/>
        <w:ind w:left="1080" w:hanging="360"/>
        <w:rPr>
          <w:rFonts w:cs="Times New Roman"/>
          <w:bCs/>
          <w:szCs w:val="24"/>
        </w:rPr>
      </w:pPr>
      <w:r>
        <w:rPr>
          <w:rFonts w:cs="Times New Roman"/>
          <w:bCs/>
          <w:szCs w:val="24"/>
        </w:rPr>
        <w:lastRenderedPageBreak/>
        <w:t xml:space="preserve">—  </w:t>
      </w:r>
      <w:r w:rsidR="00C000DB" w:rsidRPr="00C000DB">
        <w:rPr>
          <w:rFonts w:cs="Times New Roman"/>
          <w:bCs/>
          <w:szCs w:val="24"/>
        </w:rPr>
        <w:t>A claim for failing to allow the records to be inspected must be brought within three years. (Code Civ. Proc., § 338(a).)</w:t>
      </w:r>
    </w:p>
    <w:p w14:paraId="2062CBDD" w14:textId="77777777" w:rsidR="003F0E15" w:rsidRDefault="000542B9" w:rsidP="000542B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1F69DF48"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w:t>
      </w:r>
      <w:r w:rsidRPr="004F4E23">
        <w:rPr>
          <w:rFonts w:cs="Times New Roman"/>
          <w:bCs/>
          <w:szCs w:val="24"/>
          <w:highlight w:val="green"/>
        </w:rPr>
        <w:t xml:space="preserve">for </w:t>
      </w:r>
      <w:r w:rsidR="004F4E23">
        <w:rPr>
          <w:rFonts w:cs="Times New Roman"/>
          <w:bCs/>
          <w:i/>
          <w:iCs/>
          <w:szCs w:val="24"/>
          <w:highlight w:val="green"/>
        </w:rPr>
        <w:t>f</w:t>
      </w:r>
      <w:r w:rsidR="004F4E23" w:rsidRPr="004F4E23">
        <w:rPr>
          <w:rFonts w:cs="Times New Roman"/>
          <w:bCs/>
          <w:i/>
          <w:iCs/>
          <w:szCs w:val="24"/>
          <w:highlight w:val="green"/>
        </w:rPr>
        <w:t xml:space="preserve">ailure to </w:t>
      </w:r>
      <w:r w:rsidR="004F4E23">
        <w:rPr>
          <w:rFonts w:cs="Times New Roman"/>
          <w:bCs/>
          <w:i/>
          <w:iCs/>
          <w:szCs w:val="24"/>
          <w:highlight w:val="green"/>
        </w:rPr>
        <w:t>p</w:t>
      </w:r>
      <w:r w:rsidR="004F4E23" w:rsidRPr="004F4E23">
        <w:rPr>
          <w:rFonts w:cs="Times New Roman"/>
          <w:bCs/>
          <w:i/>
          <w:iCs/>
          <w:szCs w:val="24"/>
          <w:highlight w:val="green"/>
        </w:rPr>
        <w:t xml:space="preserve">ermit </w:t>
      </w:r>
      <w:r w:rsidR="004F4E23">
        <w:rPr>
          <w:rFonts w:cs="Times New Roman"/>
          <w:bCs/>
          <w:i/>
          <w:iCs/>
          <w:szCs w:val="24"/>
          <w:highlight w:val="green"/>
        </w:rPr>
        <w:t>i</w:t>
      </w:r>
      <w:r w:rsidR="004F4E23" w:rsidRPr="004F4E23">
        <w:rPr>
          <w:rFonts w:cs="Times New Roman"/>
          <w:bCs/>
          <w:i/>
          <w:iCs/>
          <w:szCs w:val="24"/>
          <w:highlight w:val="green"/>
        </w:rPr>
        <w:t xml:space="preserve">nspection of </w:t>
      </w:r>
      <w:r w:rsidR="004F4E23">
        <w:rPr>
          <w:rFonts w:cs="Times New Roman"/>
          <w:bCs/>
          <w:i/>
          <w:iCs/>
          <w:szCs w:val="24"/>
          <w:highlight w:val="green"/>
        </w:rPr>
        <w:t>r</w:t>
      </w:r>
      <w:r w:rsidR="004F4E23" w:rsidRPr="004F4E23">
        <w:rPr>
          <w:rFonts w:cs="Times New Roman"/>
          <w:bCs/>
          <w:i/>
          <w:iCs/>
          <w:szCs w:val="24"/>
          <w:highlight w:val="green"/>
        </w:rPr>
        <w:t>ecords</w:t>
      </w:r>
      <w:r w:rsidRPr="004F4E23">
        <w:rPr>
          <w:rFonts w:cs="Times New Roman"/>
          <w:bCs/>
          <w:szCs w:val="24"/>
          <w:highlight w:val="green"/>
        </w:rPr>
        <w:t>. If one o</w:t>
      </w:r>
      <w:r>
        <w:rPr>
          <w:rFonts w:cs="Times New Roman"/>
          <w:bCs/>
          <w:szCs w:val="24"/>
          <w:highlight w:val="green"/>
        </w:rPr>
        <w:t>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 (e.g., nuisance)</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2887E447" w14:textId="77777777" w:rsidR="003F0E15" w:rsidRDefault="000542B9" w:rsidP="000542B9">
      <w:pPr>
        <w:spacing w:after="264"/>
        <w:ind w:left="1080" w:hanging="360"/>
        <w:rPr>
          <w:rFonts w:cs="Times New Roman"/>
          <w:bCs/>
          <w:szCs w:val="24"/>
          <w:highlight w:val="green"/>
        </w:rPr>
      </w:pPr>
      <w:r w:rsidRPr="002D206C">
        <w:rPr>
          <w:rFonts w:cs="Times New Roman"/>
          <w:bCs/>
          <w:szCs w:val="24"/>
          <w:highlight w:val="green"/>
        </w:rPr>
        <w:t>—  ***</w:t>
      </w:r>
    </w:p>
    <w:p w14:paraId="2EE5E0AF" w14:textId="77777777" w:rsidR="003F0E15" w:rsidRDefault="000542B9" w:rsidP="000542B9">
      <w:pPr>
        <w:spacing w:after="264"/>
        <w:ind w:left="720"/>
        <w:rPr>
          <w:rFonts w:cs="Times New Roman"/>
          <w:bCs/>
          <w:szCs w:val="24"/>
        </w:rPr>
      </w:pPr>
      <w:r w:rsidRPr="002D206C">
        <w:rPr>
          <w:rFonts w:cs="Times New Roman"/>
          <w:bCs/>
          <w:szCs w:val="24"/>
          <w:highlight w:val="green"/>
        </w:rPr>
        <w:t>—  ***</w:t>
      </w:r>
    </w:p>
    <w:p w14:paraId="6B62A791" w14:textId="77777777" w:rsidR="003F0E15" w:rsidRDefault="000542B9" w:rsidP="000542B9">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5BEC08B6"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5384F495" w14:textId="77777777" w:rsidR="003F0E15" w:rsidRDefault="000542B9" w:rsidP="000542B9">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56EB2880" w:rsidR="003F0E15" w:rsidRDefault="008B55CB" w:rsidP="00124867">
      <w:pPr>
        <w:spacing w:after="264"/>
        <w:rPr>
          <w:rFonts w:cs="Times New Roman"/>
          <w:bCs/>
          <w:szCs w:val="24"/>
        </w:rPr>
      </w:pPr>
      <w:r>
        <w:rPr>
          <w:rFonts w:cs="Times New Roman"/>
          <w:bCs/>
          <w:szCs w:val="24"/>
        </w:rPr>
        <w:lastRenderedPageBreak/>
        <w:t>If this dispute is adjudicated, the prevailing party will be entitled to attorneys’ fees and costs under the Davis-Stirling Act. I</w:t>
      </w:r>
      <w:r w:rsidR="00C87DA9" w:rsidRPr="00CB094B">
        <w:rPr>
          <w:rFonts w:cs="Times New Roman"/>
          <w:bCs/>
          <w:szCs w:val="24"/>
        </w:rPr>
        <w:t>n addition, the prevailing part</w:t>
      </w:r>
      <w:r w:rsidR="00714E08">
        <w:rPr>
          <w:rFonts w:cs="Times New Roman"/>
          <w:bCs/>
          <w:szCs w:val="24"/>
        </w:rPr>
        <w:t>y</w:t>
      </w:r>
      <w:r w:rsidR="00C87DA9" w:rsidRPr="00CB094B">
        <w:rPr>
          <w:rFonts w:cs="Times New Roman"/>
          <w:bCs/>
          <w:szCs w:val="24"/>
        </w:rPr>
        <w:t xml:space="preserve"> in any such litigation will also be entitled to their attorneys’ fees and costs under </w:t>
      </w:r>
      <w:r>
        <w:rPr>
          <w:rFonts w:cs="Times New Roman"/>
          <w:bCs/>
          <w:szCs w:val="24"/>
        </w:rPr>
        <w:t>Article IV, Section 4.6</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E679A1"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1E1554">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456DDD" w14:textId="77777777" w:rsidR="00B779F7" w:rsidRDefault="00B779F7" w:rsidP="00123934">
      <w:pPr>
        <w:spacing w:after="264"/>
      </w:pPr>
      <w:r>
        <w:separator/>
      </w:r>
    </w:p>
  </w:endnote>
  <w:endnote w:type="continuationSeparator" w:id="0">
    <w:p w14:paraId="0C72869C" w14:textId="77777777" w:rsidR="00B779F7" w:rsidRDefault="00B779F7"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E679A1" w:rsidP="00BA614F">
          <w:pPr>
            <w:pStyle w:val="Footer"/>
            <w:spacing w:after="264"/>
            <w:jc w:val="right"/>
            <w:rPr>
              <w:rFonts w:cs="Times New Roman"/>
              <w:sz w:val="18"/>
              <w:szCs w:val="18"/>
            </w:rPr>
          </w:pPr>
          <w:r>
            <w:rPr>
              <w:rFonts w:cs="Times New Roman"/>
              <w:sz w:val="18"/>
              <w:szCs w:val="18"/>
            </w:rPr>
            <w:t>Avalos and Workman v. Harbor Winds #2</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6858F8" w14:textId="77777777" w:rsidR="00B779F7" w:rsidRDefault="00B779F7" w:rsidP="00123934">
      <w:pPr>
        <w:spacing w:after="264"/>
      </w:pPr>
      <w:r>
        <w:separator/>
      </w:r>
    </w:p>
  </w:footnote>
  <w:footnote w:type="continuationSeparator" w:id="0">
    <w:p w14:paraId="6181C82F" w14:textId="77777777" w:rsidR="00B779F7" w:rsidRDefault="00B779F7"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1"/>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543"/>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5B3F"/>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1554"/>
    <w:rsid w:val="001E5207"/>
    <w:rsid w:val="001F43CA"/>
    <w:rsid w:val="001F474C"/>
    <w:rsid w:val="001F6DC7"/>
    <w:rsid w:val="0020009C"/>
    <w:rsid w:val="002006CF"/>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766"/>
    <w:rsid w:val="005C2B5C"/>
    <w:rsid w:val="005C3ECE"/>
    <w:rsid w:val="005D0881"/>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57D3D"/>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4E08"/>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A8E"/>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D77F3"/>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59C7"/>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3B2"/>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779F7"/>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56B6"/>
    <w:rsid w:val="00D45B7D"/>
    <w:rsid w:val="00D46D98"/>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66543"/>
    <w:rsid w:val="0017200A"/>
    <w:rsid w:val="0017389C"/>
    <w:rsid w:val="001A0300"/>
    <w:rsid w:val="001E4819"/>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F35A7"/>
    <w:rsid w:val="00502E37"/>
    <w:rsid w:val="00511313"/>
    <w:rsid w:val="00546107"/>
    <w:rsid w:val="005629D7"/>
    <w:rsid w:val="00566028"/>
    <w:rsid w:val="00583974"/>
    <w:rsid w:val="005C661E"/>
    <w:rsid w:val="005F09CC"/>
    <w:rsid w:val="005F0A58"/>
    <w:rsid w:val="006300DE"/>
    <w:rsid w:val="00635615"/>
    <w:rsid w:val="00657D3D"/>
    <w:rsid w:val="00671FBD"/>
    <w:rsid w:val="0067208E"/>
    <w:rsid w:val="006C485D"/>
    <w:rsid w:val="006F1DB1"/>
    <w:rsid w:val="006F3F49"/>
    <w:rsid w:val="00713D38"/>
    <w:rsid w:val="00772F45"/>
    <w:rsid w:val="007D0D72"/>
    <w:rsid w:val="007F7FF8"/>
    <w:rsid w:val="00852D0C"/>
    <w:rsid w:val="0086252B"/>
    <w:rsid w:val="008B6DCE"/>
    <w:rsid w:val="008C035E"/>
    <w:rsid w:val="008C1D89"/>
    <w:rsid w:val="00905FE5"/>
    <w:rsid w:val="00911FB6"/>
    <w:rsid w:val="00923528"/>
    <w:rsid w:val="009C044F"/>
    <w:rsid w:val="009D533E"/>
    <w:rsid w:val="00A01A7F"/>
    <w:rsid w:val="00A02068"/>
    <w:rsid w:val="00A03743"/>
    <w:rsid w:val="00A244E0"/>
    <w:rsid w:val="00A82CFF"/>
    <w:rsid w:val="00AD3B88"/>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66028"/>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 w:type="paragraph" w:customStyle="1" w:styleId="D5F63FD0851E44F6B066E577492FE84D">
    <w:name w:val="D5F63FD0851E44F6B066E577492FE84D"/>
    <w:rsid w:val="00566028"/>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644" row="6">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Trespass to Chattel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908</TotalTime>
  <Pages>107</Pages>
  <Words>28377</Words>
  <Characters>161750</Characters>
  <Application>Microsoft Office Word</Application>
  <DocSecurity>0</DocSecurity>
  <Lines>1347</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198</cp:revision>
  <cp:lastPrinted>2020-05-21T21:26:00Z</cp:lastPrinted>
  <dcterms:created xsi:type="dcterms:W3CDTF">2020-06-05T16:34:00Z</dcterms:created>
  <dcterms:modified xsi:type="dcterms:W3CDTF">2024-11-21T21:51:00Z</dcterms:modified>
</cp:coreProperties>
</file>