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5C2766" w:rsidP="005C2B5C">
      <w:pPr>
        <w:spacing w:after="264"/>
        <w:jc w:val="center"/>
        <w:rPr>
          <w:rFonts w:cs="Times New Roman"/>
          <w:b/>
          <w:bCs/>
          <w:sz w:val="44"/>
          <w:szCs w:val="44"/>
        </w:rPr>
      </w:pPr>
      <w:r>
        <w:rPr>
          <w:rFonts w:cs="Times New Roman"/>
          <w:b/>
          <w:bCs/>
          <w:sz w:val="44"/>
          <w:szCs w:val="44"/>
        </w:rPr>
        <w:t>Ensley and Duyum v. Camino Villas I Community Association</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5C2766" w:rsidP="00E31A1C">
      <w:pPr>
        <w:spacing w:afterLines="0" w:after="0"/>
        <w:jc w:val="center"/>
        <w:rPr>
          <w:rFonts w:cs="Times New Roman"/>
          <w:sz w:val="28"/>
          <w:szCs w:val="28"/>
        </w:rPr>
      </w:pPr>
      <w:r>
        <w:rPr>
          <w:rFonts w:cs="Times New Roman"/>
          <w:sz w:val="28"/>
          <w:szCs w:val="28"/>
        </w:rPr>
        <w:t>SE</w:t>
      </w:r>
    </w:p>
    <w:p w14:paraId="1B4DFB73" w14:textId="21D158DC"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9059C7">
        <w:rPr>
          <w:rFonts w:cs="Times New Roman"/>
          <w:noProof/>
          <w:szCs w:val="24"/>
        </w:rPr>
        <w:t>August 1,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5C2766" w:rsidP="00ED2D7D">
      <w:pPr>
        <w:spacing w:after="264"/>
        <w:rPr>
          <w:rFonts w:cs="Times New Roman"/>
          <w:szCs w:val="24"/>
        </w:rPr>
      </w:pPr>
      <w:r>
        <w:rPr>
          <w:rFonts w:cs="Times New Roman"/>
          <w:szCs w:val="24"/>
        </w:rPr>
        <w:t>***</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5C2766" w:rsidP="0054507B">
            <w:pPr>
              <w:spacing w:afterLines="0" w:after="0"/>
              <w:rPr>
                <w:rFonts w:cs="Times New Roman"/>
                <w:sz w:val="20"/>
                <w:szCs w:val="20"/>
              </w:rPr>
            </w:pPr>
            <w:r>
              <w:rPr>
                <w:rFonts w:cs="Times New Roman"/>
                <w:sz w:val="20"/>
                <w:szCs w:val="20"/>
              </w:rPr>
              <w:t>Eric Ensley and Derya Duyum</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5C2766" w:rsidP="0054507B">
            <w:pPr>
              <w:spacing w:afterLines="0" w:after="0"/>
              <w:rPr>
                <w:rFonts w:cs="Times New Roman"/>
                <w:sz w:val="20"/>
                <w:szCs w:val="20"/>
              </w:rPr>
            </w:pPr>
            <w:r>
              <w:rPr>
                <w:rFonts w:cs="Times New Roman"/>
                <w:sz w:val="20"/>
                <w:szCs w:val="20"/>
              </w:rPr>
              <w:t>Camino Villas I Community Association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5C2766"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r w:rsidRPr="00803DB4">
        <w:rPr>
          <w:rFonts w:cs="Times New Roman"/>
          <w:i/>
          <w:iCs/>
          <w:color w:val="0070C0"/>
          <w:szCs w:val="24"/>
        </w:rPr>
        <w:t>Titmas v. Sup.Ct. (Iavarone)</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Ev.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5C2766"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proofErr w:type="spellStart"/>
      <w:r w:rsidR="009A5946" w:rsidRPr="007D7A8E">
        <w:rPr>
          <w:rFonts w:cs="Times New Roman"/>
          <w:bCs/>
          <w:szCs w:val="24"/>
          <w:lang w:val="es-ES"/>
        </w:rPr>
        <w:t>Code</w:t>
      </w:r>
      <w:proofErr w:type="spellEnd"/>
      <w:r w:rsidR="009A5946" w:rsidRPr="007D7A8E">
        <w:rPr>
          <w:rFonts w:cs="Times New Roman"/>
          <w:bCs/>
          <w:szCs w:val="24"/>
          <w:lang w:val="es-ES"/>
        </w:rPr>
        <w:t xml:space="preserve">, § 1354; </w:t>
      </w:r>
      <w:r w:rsidR="009A5946" w:rsidRPr="007D7A8E">
        <w:rPr>
          <w:rFonts w:cs="Times New Roman"/>
          <w:bCs/>
          <w:i/>
          <w:iCs/>
          <w:szCs w:val="24"/>
          <w:lang w:val="es-ES"/>
        </w:rPr>
        <w:t xml:space="preserve">Villas De Las Palmas </w:t>
      </w:r>
      <w:proofErr w:type="spellStart"/>
      <w:r w:rsidR="009A5946" w:rsidRPr="007D7A8E">
        <w:rPr>
          <w:rFonts w:cs="Times New Roman"/>
          <w:bCs/>
          <w:i/>
          <w:iCs/>
          <w:szCs w:val="24"/>
          <w:lang w:val="es-ES"/>
        </w:rPr>
        <w:t>Homeowners</w:t>
      </w:r>
      <w:proofErr w:type="spellEnd"/>
      <w:r w:rsidR="009A5946" w:rsidRPr="007D7A8E">
        <w:rPr>
          <w:rFonts w:cs="Times New Roman"/>
          <w:bCs/>
          <w:i/>
          <w:iCs/>
          <w:szCs w:val="24"/>
          <w:lang w:val="es-ES"/>
        </w:rPr>
        <w:t xml:space="preserve"> </w:t>
      </w:r>
      <w:proofErr w:type="spellStart"/>
      <w:r w:rsidR="009A5946" w:rsidRPr="007D7A8E">
        <w:rPr>
          <w:rFonts w:cs="Times New Roman"/>
          <w:bCs/>
          <w:i/>
          <w:iCs/>
          <w:szCs w:val="24"/>
          <w:lang w:val="es-ES"/>
        </w:rPr>
        <w:t>Ass’n</w:t>
      </w:r>
      <w:proofErr w:type="spellEnd"/>
      <w:r w:rsidR="009A5946" w:rsidRPr="007D7A8E">
        <w:rPr>
          <w:rFonts w:cs="Times New Roman"/>
          <w:bCs/>
          <w:i/>
          <w:iCs/>
          <w:szCs w:val="24"/>
          <w:lang w:val="es-ES"/>
        </w:rPr>
        <w:t xml:space="preserve">. v. </w:t>
      </w:r>
      <w:proofErr w:type="spellStart"/>
      <w:r w:rsidR="009A5946" w:rsidRPr="007D7A8E">
        <w:rPr>
          <w:rFonts w:cs="Times New Roman"/>
          <w:bCs/>
          <w:i/>
          <w:iCs/>
          <w:szCs w:val="24"/>
          <w:lang w:val="es-ES"/>
        </w:rPr>
        <w:t>Terifaj</w:t>
      </w:r>
      <w:proofErr w:type="spellEnd"/>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r w:rsidR="005E261D" w:rsidRPr="00FD51C5">
        <w:rPr>
          <w:rFonts w:cs="Times New Roman"/>
          <w:bCs/>
          <w:i/>
          <w:iCs/>
          <w:szCs w:val="24"/>
        </w:rPr>
        <w:t>Branwell v. Kuhle</w:t>
      </w:r>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Bramwell v. Kuhle</w:t>
      </w:r>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6"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C.W. Howe Partners Inc. v. Mooradian</w:t>
      </w:r>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6"/>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pays the third party</w:t>
      </w:r>
      <w:r w:rsidR="00484FE7">
        <w:rPr>
          <w:rFonts w:cs="Times New Roman"/>
          <w:bCs/>
          <w:szCs w:val="24"/>
        </w:rPr>
        <w:t xml:space="preserve">, or incurs expenses for his or her defense that should’ve been covered by the indemnitor. </w:t>
      </w:r>
      <w:r w:rsidR="00484FE7">
        <w:rPr>
          <w:rFonts w:cs="Times New Roman"/>
          <w:bCs/>
          <w:szCs w:val="24"/>
        </w:rPr>
        <w:lastRenderedPageBreak/>
        <w:t>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lastRenderedPageBreak/>
        <w:t xml:space="preserve">—  </w:t>
      </w:r>
      <w:r w:rsidR="0012753E" w:rsidRPr="0012753E">
        <w:rPr>
          <w:rFonts w:cs="Times New Roman"/>
          <w:bCs/>
          <w:szCs w:val="24"/>
        </w:rPr>
        <w:t>Equitable indemnity is similar to comparative fault in that liability to third party is apportioned between the indemnitee and the indemnitor. (</w:t>
      </w:r>
      <w:r w:rsidR="0012753E" w:rsidRPr="001F6DC7">
        <w:rPr>
          <w:rFonts w:cs="Times New Roman"/>
          <w:bCs/>
          <w:i/>
          <w:iCs/>
          <w:szCs w:val="24"/>
        </w:rPr>
        <w:t>C.W. Howe Partners Inc. v. Mooradian</w:t>
      </w:r>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cross-claim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Proving a claim for equitable indemnity entitles the indemnitee to restitution from the indemnitor for the amount of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 xml:space="preserve">Am. States Ins. Co. v. </w:t>
      </w:r>
      <w:proofErr w:type="spellStart"/>
      <w:r w:rsidR="00473003" w:rsidRPr="00473003">
        <w:rPr>
          <w:rFonts w:cs="Times New Roman"/>
          <w:bCs/>
          <w:i/>
          <w:iCs/>
          <w:szCs w:val="24"/>
        </w:rPr>
        <w:t>Nat'l</w:t>
      </w:r>
      <w:proofErr w:type="spellEnd"/>
      <w:r w:rsidR="00473003" w:rsidRPr="00473003">
        <w:rPr>
          <w:rFonts w:cs="Times New Roman"/>
          <w:bCs/>
          <w:i/>
          <w:iCs/>
          <w:szCs w:val="24"/>
        </w:rPr>
        <w:t xml:space="preserve">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pays the third party</w:t>
      </w:r>
      <w:r w:rsidR="00473003">
        <w:rPr>
          <w:rFonts w:cs="Times New Roman"/>
          <w:bCs/>
          <w:szCs w:val="24"/>
        </w:rPr>
        <w:t xml:space="preserve">, or incurs expenses for his or her defense that should’ve been covered by the indemnitor. When the underlying third party’s injury occurred is irrelevant. </w:t>
      </w:r>
      <w:r w:rsidR="00473003" w:rsidRPr="00473003">
        <w:rPr>
          <w:rFonts w:cs="Times New Roman"/>
          <w:bCs/>
          <w:szCs w:val="24"/>
        </w:rPr>
        <w:t>(</w:t>
      </w:r>
      <w:r w:rsidR="00473003" w:rsidRPr="00473003">
        <w:rPr>
          <w:rFonts w:cs="Times New Roman"/>
          <w:bCs/>
          <w:i/>
          <w:iCs/>
          <w:szCs w:val="24"/>
        </w:rPr>
        <w:t>Lantzy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If one or more provisions of the CC&amp;Rs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56EB2880"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n addition, the prevailing part</w:t>
      </w:r>
      <w:r w:rsidR="00714E08">
        <w:rPr>
          <w:rFonts w:cs="Times New Roman"/>
          <w:bCs/>
          <w:szCs w:val="24"/>
        </w:rPr>
        <w:t>y</w:t>
      </w:r>
      <w:r w:rsidR="00C87DA9" w:rsidRPr="00CB094B">
        <w:rPr>
          <w:rFonts w:cs="Times New Roman"/>
          <w:bCs/>
          <w:szCs w:val="24"/>
        </w:rPr>
        <w:t xml:space="preserve"> in any such litigation will also be entitled to their attorneys’ fees and costs under </w:t>
      </w:r>
      <w:r>
        <w:rPr>
          <w:rFonts w:cs="Times New Roman"/>
          <w:bCs/>
          <w:szCs w:val="24"/>
        </w:rPr>
        <w:t>Article XIII, section 5</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5C2766"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303E5" w14:textId="77777777" w:rsidR="008D77F3" w:rsidRDefault="008D77F3" w:rsidP="00123934">
      <w:pPr>
        <w:spacing w:after="264"/>
      </w:pPr>
      <w:r>
        <w:separator/>
      </w:r>
    </w:p>
  </w:endnote>
  <w:endnote w:type="continuationSeparator" w:id="0">
    <w:p w14:paraId="519B897F" w14:textId="77777777" w:rsidR="008D77F3" w:rsidRDefault="008D77F3"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5C2766" w:rsidP="00BA614F">
          <w:pPr>
            <w:pStyle w:val="Footer"/>
            <w:spacing w:after="264"/>
            <w:jc w:val="right"/>
            <w:rPr>
              <w:rFonts w:cs="Times New Roman"/>
              <w:sz w:val="18"/>
              <w:szCs w:val="18"/>
            </w:rPr>
          </w:pPr>
          <w:r>
            <w:rPr>
              <w:rFonts w:cs="Times New Roman"/>
              <w:sz w:val="18"/>
              <w:szCs w:val="18"/>
            </w:rPr>
            <w:t>Ensley and Duyum v. Camino Villas I Community Association</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1D0D1" w14:textId="77777777" w:rsidR="008D77F3" w:rsidRDefault="008D77F3" w:rsidP="00123934">
      <w:pPr>
        <w:spacing w:after="264"/>
      </w:pPr>
      <w:r>
        <w:separator/>
      </w:r>
    </w:p>
  </w:footnote>
  <w:footnote w:type="continuationSeparator" w:id="0">
    <w:p w14:paraId="347A963C" w14:textId="77777777" w:rsidR="008D77F3" w:rsidRDefault="008D77F3"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543"/>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5B3F"/>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766"/>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D77F3"/>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59C7"/>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66543"/>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D3B88"/>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804"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Trespass to Chattel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899</TotalTime>
  <Pages>107</Pages>
  <Words>28376</Words>
  <Characters>161748</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195</cp:revision>
  <cp:lastPrinted>2020-05-21T21:26:00Z</cp:lastPrinted>
  <dcterms:created xsi:type="dcterms:W3CDTF">2020-06-05T16:34:00Z</dcterms:created>
  <dcterms:modified xsi:type="dcterms:W3CDTF">2024-05-17T17:28:00Z</dcterms:modified>
</cp:coreProperties>
</file>