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Yu adv. Los Ranchitos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60523BEC" w14:textId="2FE06E7B" w:rsidR="00EA5B5F" w:rsidRPr="002A5E05" w:rsidRDefault="00CF4167" w:rsidP="00FD77B5">
      <w:pPr>
        <w:spacing w:afterLines="0" w:after="0"/>
        <w:jc w:val="center"/>
        <w:rPr>
          <w:rFonts w:cs="Times New Roman"/>
          <w:sz w:val="28"/>
          <w:szCs w:val="28"/>
        </w:rPr>
      </w:pPr>
      <w:r>
        <w:rPr>
          <w:rFonts w:cs="Times New Roman"/>
          <w:color w:val="000099"/>
          <w:sz w:val="28"/>
          <w:szCs w:val="28"/>
        </w:rPr>
        <w:t>CVME2605068</w:t>
      </w: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CF</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Client owns property located at 41750 Cajon Drive, Temecula, CA (the "Property") that is subject to the Los Ranchitos Homeowners Association (the "HOA"). The HOA filed suit for enforcement of the CC&amp;Rs alleging multiple violations, including: 1) Installation or placement of temporary storage structures in violation of Section 4.07; 2) Cutting down mature trees in violation of Section 4.06; 3) Installation of a temporary solar structure in violation Section 4.08; 4) Installation of screens at front fencing in violation of Section 6.02; and 5) Improper storage of vehicles in violation of Section 4.08.</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276C41D3" w14:textId="77777777" w:rsidTr="001B2429">
        <w:trPr>
          <w:cantSplit/>
        </w:trPr>
        <w:tc>
          <w:tcPr>
            <w:tcW w:w="5215" w:type="dxa"/>
            <w:shd w:val="clear" w:color="auto" w:fill="B4C6E7" w:themeFill="accent1" w:themeFillTint="66"/>
          </w:tcPr>
          <w:p w14:paraId="6A328D71" w14:textId="77777777" w:rsidR="001B2429" w:rsidRPr="00BF20DA" w:rsidRDefault="001B2429" w:rsidP="009855CA">
            <w:pPr>
              <w:spacing w:afterLines="0" w:after="0"/>
              <w:rPr>
                <w:rFonts w:ascii="Times New Roman" w:hAnsi="Times New Roman" w:cs="Times New Roman"/>
                <w:b/>
              </w:rPr>
            </w:pPr>
          </w:p>
          <w:p w14:paraId="30691B11" w14:textId="68E5D483"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4B402E0C" w14:textId="77777777" w:rsidR="001B2429" w:rsidRPr="00BF20DA" w:rsidRDefault="001B2429" w:rsidP="009855CA">
            <w:pPr>
              <w:spacing w:afterLines="0" w:after="0"/>
              <w:rPr>
                <w:rFonts w:ascii="Times New Roman" w:hAnsi="Times New Roman" w:cs="Times New Roman"/>
                <w:b/>
              </w:rPr>
            </w:pPr>
          </w:p>
          <w:p w14:paraId="78335826"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64C9A92E" w14:textId="77777777" w:rsidR="001B2429" w:rsidRPr="00BF20DA" w:rsidRDefault="001B2429" w:rsidP="009855CA">
            <w:pPr>
              <w:spacing w:afterLines="0" w:after="0"/>
              <w:rPr>
                <w:rFonts w:ascii="Times New Roman" w:hAnsi="Times New Roman" w:cs="Times New Roman"/>
                <w:b/>
              </w:rPr>
            </w:pPr>
          </w:p>
        </w:tc>
      </w:tr>
      <w:tr w:rsidR="00246DB4" w:rsidRPr="00BF20DA" w14:paraId="6D154A80" w14:textId="77777777" w:rsidTr="001B2429">
        <w:trPr>
          <w:cantSplit/>
        </w:trPr>
        <w:tc>
          <w:tcPr>
            <w:tcW w:w="5215" w:type="dxa"/>
            <w:vAlign w:val="center"/>
          </w:tcPr>
          <w:p w14:paraId="35EAC1EF" w14:textId="77777777" w:rsidR="00246DB4" w:rsidRDefault="00246DB4" w:rsidP="00246DB4">
            <w:pPr>
              <w:spacing w:afterLines="0" w:after="0"/>
              <w:rPr>
                <w:rFonts w:cs="Times New Roman"/>
                <w:sz w:val="20"/>
                <w:szCs w:val="20"/>
              </w:rPr>
            </w:pPr>
          </w:p>
          <w:p w14:paraId="0A1EBEFA" w14:textId="77777777" w:rsidR="00246DB4" w:rsidRDefault="00CF4167" w:rsidP="00246DB4">
            <w:pPr>
              <w:spacing w:afterLines="0" w:after="0"/>
              <w:rPr>
                <w:rFonts w:ascii="Times New Roman" w:hAnsi="Times New Roman" w:cs="Times New Roman"/>
                <w:sz w:val="20"/>
                <w:szCs w:val="20"/>
              </w:rPr>
            </w:pPr>
            <w:r>
              <w:rPr>
                <w:rFonts w:cs="Times New Roman"/>
                <w:sz w:val="20"/>
                <w:szCs w:val="20"/>
              </w:rPr>
              <w:t>Quanli Yu</w:t>
            </w:r>
            <w:r w:rsidR="00246DB4" w:rsidRPr="0037460B">
              <w:rPr>
                <w:rFonts w:ascii="Times New Roman" w:hAnsi="Times New Roman" w:cs="Times New Roman"/>
                <w:sz w:val="20"/>
                <w:szCs w:val="20"/>
              </w:rPr>
              <w:t xml:space="preserve"> (“Client”)</w:t>
            </w:r>
          </w:p>
          <w:p w14:paraId="5891256E" w14:textId="77777777" w:rsidR="00246DB4" w:rsidRDefault="00246DB4" w:rsidP="00246DB4">
            <w:pPr>
              <w:spacing w:afterLines="0" w:after="0"/>
              <w:rPr>
                <w:rFonts w:ascii="Times New Roman" w:hAnsi="Times New Roman" w:cs="Times New Roman"/>
                <w:sz w:val="20"/>
                <w:szCs w:val="20"/>
              </w:rPr>
            </w:pPr>
          </w:p>
          <w:p w14:paraId="5355D808"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F25F5A5" w14:textId="16AE4070"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66C7993" w14:textId="77777777" w:rsidR="00246DB4" w:rsidRDefault="00246DB4" w:rsidP="00246DB4">
            <w:pPr>
              <w:spacing w:afterLines="0" w:after="0"/>
              <w:rPr>
                <w:rFonts w:ascii="Times New Roman" w:hAnsi="Times New Roman" w:cs="Times New Roman"/>
                <w:sz w:val="20"/>
                <w:szCs w:val="20"/>
              </w:rPr>
            </w:pPr>
          </w:p>
          <w:p w14:paraId="37E1D0D5" w14:textId="5A80BBF1"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3AEDEA6E" w14:textId="77777777" w:rsidTr="001B2429">
        <w:trPr>
          <w:cantSplit/>
        </w:trPr>
        <w:tc>
          <w:tcPr>
            <w:tcW w:w="5215" w:type="dxa"/>
            <w:vAlign w:val="center"/>
          </w:tcPr>
          <w:p w14:paraId="64D8098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Los Ranchitos Homeowners Association ("HOA")</w:t>
            </w:r>
          </w:p>
        </w:tc>
        <w:tc>
          <w:tcPr>
            <w:tcW w:w="5490" w:type="dxa"/>
            <w:vAlign w:val="center"/>
          </w:tcPr>
          <w:p w14:paraId="4EF1A78D" w14:textId="77777777" w:rsidR="001B2429" w:rsidRPr="00BF20DA" w:rsidRDefault="001B2429" w:rsidP="009855CA">
            <w:pPr>
              <w:spacing w:afterLines="0" w:after="0"/>
              <w:rPr>
                <w:rFonts w:ascii="Times New Roman" w:hAnsi="Times New Roman" w:cs="Times New Roman"/>
                <w:sz w:val="20"/>
                <w:szCs w:val="20"/>
              </w:rPr>
            </w:pPr>
          </w:p>
          <w:p w14:paraId="27B5B89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Plaintiff</w:t>
            </w:r>
          </w:p>
          <w:p w14:paraId="0176858C"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6D183C0" w14:textId="77777777" w:rsidTr="001B2429">
        <w:trPr>
          <w:cantSplit/>
        </w:trPr>
        <w:tc>
          <w:tcPr>
            <w:tcW w:w="5215" w:type="dxa"/>
            <w:vAlign w:val="center"/>
          </w:tcPr>
          <w:p w14:paraId="54475BFF"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tc>
        <w:tc>
          <w:tcPr>
            <w:tcW w:w="5490" w:type="dxa"/>
            <w:vAlign w:val="center"/>
          </w:tcPr>
          <w:p w14:paraId="50A1295E" w14:textId="77777777" w:rsidR="001B2429" w:rsidRPr="00BF20DA" w:rsidRDefault="001B2429" w:rsidP="009855CA">
            <w:pPr>
              <w:spacing w:afterLines="0" w:after="0"/>
              <w:rPr>
                <w:rFonts w:ascii="Times New Roman" w:hAnsi="Times New Roman" w:cs="Times New Roman"/>
                <w:sz w:val="20"/>
                <w:szCs w:val="20"/>
              </w:rPr>
            </w:pPr>
          </w:p>
          <w:p w14:paraId="51BCCBE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p w14:paraId="52E7EF3B"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5D3EFD76" w14:textId="77777777" w:rsidTr="001B2429">
        <w:trPr>
          <w:cantSplit/>
        </w:trPr>
        <w:tc>
          <w:tcPr>
            <w:tcW w:w="5215" w:type="dxa"/>
            <w:vAlign w:val="center"/>
          </w:tcPr>
          <w:p w14:paraId="4EB8240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tc>
        <w:tc>
          <w:tcPr>
            <w:tcW w:w="5490" w:type="dxa"/>
            <w:vAlign w:val="center"/>
          </w:tcPr>
          <w:p w14:paraId="094A309B" w14:textId="77777777" w:rsidR="001B2429" w:rsidRPr="00BF20DA" w:rsidRDefault="001B2429" w:rsidP="009855CA">
            <w:pPr>
              <w:spacing w:afterLines="0" w:after="0"/>
              <w:rPr>
                <w:rFonts w:ascii="Times New Roman" w:hAnsi="Times New Roman" w:cs="Times New Roman"/>
                <w:sz w:val="20"/>
                <w:szCs w:val="20"/>
              </w:rPr>
            </w:pPr>
          </w:p>
          <w:p w14:paraId="7E374F8B"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p w14:paraId="2AF39244"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A498E95" w14:textId="77777777" w:rsidTr="001B2429">
        <w:trPr>
          <w:cantSplit/>
        </w:trPr>
        <w:tc>
          <w:tcPr>
            <w:tcW w:w="5215" w:type="dxa"/>
            <w:vAlign w:val="center"/>
          </w:tcPr>
          <w:p w14:paraId="548E920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tc>
        <w:tc>
          <w:tcPr>
            <w:tcW w:w="5490" w:type="dxa"/>
            <w:vAlign w:val="center"/>
          </w:tcPr>
          <w:p w14:paraId="7C83E6AF" w14:textId="77777777" w:rsidR="001B2429" w:rsidRPr="00BF20DA" w:rsidRDefault="001B2429" w:rsidP="009855CA">
            <w:pPr>
              <w:spacing w:afterLines="0" w:after="0"/>
              <w:rPr>
                <w:rFonts w:ascii="Times New Roman" w:hAnsi="Times New Roman" w:cs="Times New Roman"/>
                <w:sz w:val="20"/>
                <w:szCs w:val="20"/>
              </w:rPr>
            </w:pPr>
          </w:p>
          <w:p w14:paraId="6B35BBD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p w14:paraId="0774E388"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20136C0" w14:textId="77777777" w:rsidTr="001B2429">
        <w:trPr>
          <w:cantSplit/>
        </w:trPr>
        <w:tc>
          <w:tcPr>
            <w:tcW w:w="5215" w:type="dxa"/>
            <w:vAlign w:val="center"/>
          </w:tcPr>
          <w:p w14:paraId="62EFAA1E" w14:textId="77777777" w:rsidR="001B2429" w:rsidRPr="00BF20DA" w:rsidRDefault="001B2429" w:rsidP="009855CA">
            <w:pPr>
              <w:spacing w:afterLines="0" w:after="0"/>
              <w:rPr>
                <w:rFonts w:ascii="Times New Roman" w:hAnsi="Times New Roman" w:cs="Times New Roman"/>
                <w:sz w:val="20"/>
                <w:szCs w:val="20"/>
              </w:rPr>
            </w:pPr>
          </w:p>
          <w:p w14:paraId="1F5E1F63"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tc>
        <w:tc>
          <w:tcPr>
            <w:tcW w:w="5490" w:type="dxa"/>
            <w:vAlign w:val="center"/>
          </w:tcPr>
          <w:p w14:paraId="78E6CE50" w14:textId="77777777" w:rsidR="001B2429" w:rsidRPr="00BF20DA" w:rsidRDefault="001B2429" w:rsidP="009855CA">
            <w:pPr>
              <w:spacing w:afterLines="0" w:after="0"/>
              <w:rPr>
                <w:rFonts w:ascii="Times New Roman" w:hAnsi="Times New Roman" w:cs="Times New Roman"/>
                <w:sz w:val="20"/>
                <w:szCs w:val="20"/>
              </w:rPr>
            </w:pPr>
          </w:p>
          <w:p w14:paraId="4985B97D"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[Reserved]</w:t>
            </w:r>
          </w:p>
          <w:p w14:paraId="2A29D5F1" w14:textId="77777777" w:rsidR="001B2429" w:rsidRPr="00BF20DA" w:rsidRDefault="001B2429" w:rsidP="009855CA">
            <w:pPr>
              <w:spacing w:afterLines="0" w:after="0"/>
              <w:rPr>
                <w:rFonts w:ascii="Times New Roman" w:hAnsi="Times New Roman" w:cs="Times New Roman"/>
                <w:sz w:val="20"/>
                <w:szCs w:val="20"/>
              </w:rPr>
            </w:pPr>
          </w:p>
        </w:tc>
      </w:tr>
    </w:tbl>
    <w:p w14:paraId="6854B648" w14:textId="77777777" w:rsidR="00246DB4" w:rsidRDefault="00246DB4" w:rsidP="00036B28">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What is the purpose of the containers and solar panels? This may be necessary to defend their continued existence in the space.</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Documents provided in one massive PDF. They need to be broken out for discovery review and provision to opposing counsel.</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Pr="00EA2883">
        <w:t xml:space="preserve">POTENTIAL CROSS-CLAIMS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5A609B80" w14:textId="70E0193E" w:rsidR="0013715C" w:rsidRDefault="0013715C" w:rsidP="0013715C">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cause of action above is also applicable to a </w:t>
      </w:r>
      <w:r>
        <w:rPr>
          <w:rFonts w:cs="Times New Roman"/>
          <w:bCs/>
          <w:szCs w:val="24"/>
        </w:rPr>
        <w:t>breach of fiduciary duty</w:t>
      </w:r>
      <w:r w:rsidRPr="00020852">
        <w:rPr>
          <w:rFonts w:cs="Times New Roman"/>
          <w:bCs/>
          <w:szCs w:val="24"/>
        </w:rPr>
        <w:t xml:space="preserve"> claim.</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670A785D" w14:textId="3411ECA6"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w:t>
      </w:r>
      <w:r w:rsidR="00FA61F3">
        <w:rPr>
          <w:rFonts w:cs="Times New Roman"/>
          <w:bCs/>
          <w:szCs w:val="24"/>
        </w:rPr>
        <w:t xml:space="preserve">and “Breach of Fiduciary Duty” </w:t>
      </w:r>
      <w:r w:rsidRPr="00020852">
        <w:rPr>
          <w:rFonts w:cs="Times New Roman"/>
          <w:bCs/>
          <w:szCs w:val="24"/>
        </w:rPr>
        <w:t>cause</w:t>
      </w:r>
      <w:r w:rsidR="00FA61F3">
        <w:rPr>
          <w:rFonts w:cs="Times New Roman"/>
          <w:bCs/>
          <w:szCs w:val="24"/>
        </w:rPr>
        <w:t>s</w:t>
      </w:r>
      <w:r w:rsidRPr="00020852">
        <w:rPr>
          <w:rFonts w:cs="Times New Roman"/>
          <w:bCs/>
          <w:szCs w:val="24"/>
        </w:rPr>
        <w:t xml:space="preserve"> of action above is also applicable to a declaratory relief claim.</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7C2D0CAB" w14:textId="5ACBC9F4" w:rsidR="000813C7" w:rsidRDefault="000813C7" w:rsidP="0049077D">
      <w:pPr>
        <w:pStyle w:val="Heading1"/>
        <w:spacing w:after="264"/>
      </w:pPr>
      <w:r w:rsidRPr="00D536E3">
        <w:fldChar w:fldCharType="begin"/>
      </w:r>
      <w:r>
        <w:instrText xml:space="preserve"> LISTNUM LegalDefault \l 1 </w:instrText>
      </w:r>
      <w:bookmarkStart w:id="143" w:name="_Toc130368762"/>
      <w:r w:rsidRPr="00D536E3">
        <w:fldChar w:fldCharType="end"/>
      </w:r>
      <w:r w:rsidR="000B75CA">
        <w:br/>
      </w:r>
      <w:r w:rsidR="00DD2768" w:rsidRPr="00A66858">
        <w:t>POTENTIAL AFFIRMATIVE DEFENSES</w:t>
      </w:r>
      <w:bookmarkEnd w:id="143"/>
    </w:p>
    <w:p w14:paraId="2CD49C4E" w14:textId="77777777" w:rsidR="00745226" w:rsidRDefault="000813C7" w:rsidP="000813C7">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41A83884" w14:textId="77777777" w:rsidR="00745226" w:rsidRDefault="000813C7" w:rsidP="00EA2883">
      <w:pPr>
        <w:pStyle w:val="Heading2"/>
      </w:pPr>
      <w:r w:rsidRPr="00274E8F">
        <w:fldChar w:fldCharType="begin"/>
      </w:r>
      <w:r w:rsidRPr="00274E8F">
        <w:instrText xml:space="preserve"> LISTNUM LegalDefault \l 2 </w:instrText>
      </w:r>
      <w:bookmarkStart w:id="147" w:name="_Toc130368765"/>
      <w:r w:rsidRPr="00274E8F">
        <w:fldChar w:fldCharType="end"/>
      </w:r>
      <w:r w:rsidR="009B5213">
        <w:br/>
      </w:r>
      <w:r>
        <w:t>Equitable Estoppel</w:t>
      </w:r>
      <w:bookmarkEnd w:id="147"/>
    </w:p>
    <w:p w14:paraId="2BDA429D" w14:textId="7C380DBD"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—Equitable Estoppel</w:t>
      </w:r>
    </w:p>
    <w:p w14:paraId="5577257C" w14:textId="522335F8" w:rsidR="00745226" w:rsidRDefault="000813C7" w:rsidP="000813C7">
      <w:pPr>
        <w:spacing w:after="264"/>
        <w:ind w:left="1080" w:hanging="360"/>
        <w:rPr>
          <w:rFonts w:cs="Times New Roman"/>
          <w:bCs/>
          <w:szCs w:val="24"/>
        </w:rPr>
      </w:pPr>
      <w:r>
        <w:rPr>
          <w:rFonts w:cs="Times New Roman"/>
          <w:bCs/>
          <w:szCs w:val="24"/>
        </w:rPr>
        <w:t xml:space="preserve">—  </w:t>
      </w:r>
      <w:r w:rsidRPr="00207181">
        <w:rPr>
          <w:rFonts w:cs="Times New Roman"/>
          <w:bCs/>
          <w:szCs w:val="24"/>
        </w:rPr>
        <w:t xml:space="preserve">If a party acts or makes statements to intentionally or deliberately lead someone else to believe that a particular thing is true, and the second party acts upon that belief, the first party cannot contradict his </w:t>
      </w:r>
      <w:r>
        <w:rPr>
          <w:rFonts w:cs="Times New Roman"/>
          <w:bCs/>
          <w:szCs w:val="24"/>
        </w:rPr>
        <w:t xml:space="preserve">or her </w:t>
      </w:r>
      <w:r w:rsidRPr="00207181">
        <w:rPr>
          <w:rFonts w:cs="Times New Roman"/>
          <w:bCs/>
          <w:szCs w:val="24"/>
        </w:rPr>
        <w:t>prior statement or conduct. (</w:t>
      </w:r>
      <w:r w:rsidRPr="00207181">
        <w:rPr>
          <w:rFonts w:cs="Times New Roman"/>
          <w:bCs/>
          <w:i/>
          <w:iCs/>
          <w:szCs w:val="24"/>
        </w:rPr>
        <w:t>Moncada v. West Coast Quartz Corp.</w:t>
      </w:r>
      <w:r w:rsidRPr="00207181">
        <w:rPr>
          <w:rFonts w:cs="Times New Roman"/>
          <w:bCs/>
          <w:szCs w:val="24"/>
        </w:rPr>
        <w:t xml:space="preserve"> (2013) 221 Cal.App.4th 768, 782.)</w:t>
      </w:r>
    </w:p>
    <w:p w14:paraId="4D3AC895" w14:textId="17173013"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71D50CFC" w14:textId="12A8FDD2"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1D382BD" w14:textId="77777777" w:rsidR="00745226" w:rsidRDefault="000813C7" w:rsidP="00EA2883">
      <w:pPr>
        <w:pStyle w:val="Heading2"/>
      </w:pPr>
      <w:r w:rsidRPr="00274E8F">
        <w:fldChar w:fldCharType="begin"/>
      </w:r>
      <w:r w:rsidRPr="00274E8F">
        <w:instrText xml:space="preserve"> LISTNUM LegalDefault \l 2 </w:instrText>
      </w:r>
      <w:bookmarkStart w:id="148" w:name="_Toc130368766"/>
      <w:r w:rsidRPr="00274E8F">
        <w:fldChar w:fldCharType="end"/>
      </w:r>
      <w:r w:rsidR="009B5213">
        <w:br/>
      </w:r>
      <w:r>
        <w:t>Unclean Hands</w:t>
      </w:r>
      <w:bookmarkEnd w:id="148"/>
    </w:p>
    <w:p w14:paraId="7405EBC7" w14:textId="666D5FBF"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—Unclean Hands</w:t>
      </w:r>
    </w:p>
    <w:p w14:paraId="480740ED" w14:textId="2A896574"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207181">
        <w:rPr>
          <w:rFonts w:cs="Times New Roman"/>
          <w:bCs/>
          <w:szCs w:val="24"/>
        </w:rPr>
        <w:t xml:space="preserve">If the plaintiff’s </w:t>
      </w:r>
      <w:r>
        <w:rPr>
          <w:rFonts w:cs="Times New Roman"/>
          <w:bCs/>
          <w:szCs w:val="24"/>
        </w:rPr>
        <w:t xml:space="preserve">bad </w:t>
      </w:r>
      <w:r w:rsidRPr="00207181">
        <w:rPr>
          <w:rFonts w:cs="Times New Roman"/>
          <w:bCs/>
          <w:szCs w:val="24"/>
        </w:rPr>
        <w:t>conduct or bad faith causes</w:t>
      </w:r>
      <w:r>
        <w:rPr>
          <w:rFonts w:cs="Times New Roman"/>
          <w:bCs/>
          <w:szCs w:val="24"/>
        </w:rPr>
        <w:t>/is related to</w:t>
      </w:r>
      <w:r w:rsidRPr="00207181">
        <w:rPr>
          <w:rFonts w:cs="Times New Roman"/>
          <w:bCs/>
          <w:szCs w:val="24"/>
        </w:rPr>
        <w:t xml:space="preserve"> </w:t>
      </w:r>
      <w:r>
        <w:rPr>
          <w:rFonts w:cs="Times New Roman"/>
          <w:bCs/>
          <w:szCs w:val="24"/>
        </w:rPr>
        <w:t>his or her own</w:t>
      </w:r>
      <w:r w:rsidRPr="00207181">
        <w:rPr>
          <w:rFonts w:cs="Times New Roman"/>
          <w:bCs/>
          <w:szCs w:val="24"/>
        </w:rPr>
        <w:t xml:space="preserve"> underlying harm</w:t>
      </w:r>
      <w:r>
        <w:rPr>
          <w:rFonts w:cs="Times New Roman"/>
          <w:bCs/>
          <w:szCs w:val="24"/>
        </w:rPr>
        <w:t>, then that</w:t>
      </w:r>
      <w:r w:rsidRPr="00207181">
        <w:rPr>
          <w:rFonts w:cs="Times New Roman"/>
          <w:bCs/>
          <w:szCs w:val="24"/>
        </w:rPr>
        <w:t xml:space="preserve"> plaintiff is barred from obtaining equitable relief</w:t>
      </w:r>
      <w:r>
        <w:rPr>
          <w:rFonts w:cs="Times New Roman"/>
          <w:bCs/>
          <w:szCs w:val="24"/>
        </w:rPr>
        <w:t>—</w:t>
      </w:r>
      <w:r w:rsidRPr="00207181">
        <w:rPr>
          <w:rFonts w:cs="Times New Roman"/>
          <w:bCs/>
          <w:szCs w:val="24"/>
        </w:rPr>
        <w:t>i.e., a plaintiff cannot take advantage of his or her own wrong. (Civ. Code</w:t>
      </w:r>
      <w:r>
        <w:rPr>
          <w:rFonts w:cs="Times New Roman"/>
          <w:bCs/>
          <w:szCs w:val="24"/>
        </w:rPr>
        <w:t>,</w:t>
      </w:r>
      <w:r w:rsidRPr="00207181">
        <w:rPr>
          <w:rFonts w:cs="Times New Roman"/>
          <w:bCs/>
          <w:szCs w:val="24"/>
        </w:rPr>
        <w:t xml:space="preserve"> § 3517; </w:t>
      </w:r>
      <w:r w:rsidRPr="00207181">
        <w:rPr>
          <w:rFonts w:cs="Times New Roman"/>
          <w:bCs/>
          <w:i/>
          <w:iCs/>
          <w:szCs w:val="24"/>
        </w:rPr>
        <w:t xml:space="preserve">Lynn v. </w:t>
      </w:r>
      <w:proofErr w:type="spellStart"/>
      <w:r w:rsidRPr="00207181">
        <w:rPr>
          <w:rFonts w:cs="Times New Roman"/>
          <w:bCs/>
          <w:i/>
          <w:iCs/>
          <w:szCs w:val="24"/>
        </w:rPr>
        <w:t>Duckel</w:t>
      </w:r>
      <w:proofErr w:type="spellEnd"/>
      <w:r w:rsidRPr="00207181">
        <w:rPr>
          <w:rFonts w:cs="Times New Roman"/>
          <w:bCs/>
          <w:szCs w:val="24"/>
        </w:rPr>
        <w:t xml:space="preserve"> (1956) 46 </w:t>
      </w:r>
      <w:proofErr w:type="spellStart"/>
      <w:r w:rsidRPr="00207181">
        <w:rPr>
          <w:rFonts w:cs="Times New Roman"/>
          <w:bCs/>
          <w:szCs w:val="24"/>
        </w:rPr>
        <w:t>Cal.2d</w:t>
      </w:r>
      <w:proofErr w:type="spellEnd"/>
      <w:r w:rsidRPr="00207181">
        <w:rPr>
          <w:rFonts w:cs="Times New Roman"/>
          <w:bCs/>
          <w:szCs w:val="24"/>
        </w:rPr>
        <w:t xml:space="preserve"> 845, 850.)</w:t>
      </w:r>
    </w:p>
    <w:p w14:paraId="4F00CEB3" w14:textId="519D7F56"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2D83F412" w14:textId="37BB9619"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0C181A6" w14:textId="77777777" w:rsidR="00745226" w:rsidRDefault="000813C7" w:rsidP="00EA2883">
      <w:pPr>
        <w:pStyle w:val="Heading2"/>
      </w:pPr>
      <w:r w:rsidRPr="00274E8F">
        <w:fldChar w:fldCharType="begin"/>
      </w:r>
      <w:r w:rsidRPr="00274E8F">
        <w:instrText xml:space="preserve"> LISTNUM LegalDefault \l 2 </w:instrText>
      </w:r>
      <w:bookmarkStart w:id="149" w:name="_Toc130368767"/>
      <w:r w:rsidRPr="00274E8F">
        <w:fldChar w:fldCharType="end"/>
      </w:r>
      <w:r w:rsidR="009B5213">
        <w:br/>
      </w:r>
      <w:r>
        <w:t>Laches</w:t>
      </w:r>
      <w:bookmarkEnd w:id="149"/>
    </w:p>
    <w:p w14:paraId="47FFB5B3" w14:textId="0E64C8C7"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—Laches</w:t>
      </w:r>
    </w:p>
    <w:p w14:paraId="3DD46595" w14:textId="25CD1733" w:rsidR="00745226" w:rsidRDefault="000813C7" w:rsidP="000813C7">
      <w:pPr>
        <w:spacing w:after="264"/>
        <w:ind w:left="1080" w:hanging="360"/>
        <w:rPr>
          <w:rFonts w:cs="Times New Roman"/>
          <w:szCs w:val="24"/>
        </w:rPr>
      </w:pPr>
      <w:r>
        <w:rPr>
          <w:rFonts w:cs="Times New Roman"/>
          <w:bCs/>
          <w:szCs w:val="24"/>
        </w:rPr>
        <w:t xml:space="preserve">—  </w:t>
      </w:r>
      <w:bookmarkStart w:id="150" w:name="_Hlk41464912"/>
      <w:r w:rsidRPr="003E0800">
        <w:rPr>
          <w:rFonts w:cs="Times New Roman"/>
          <w:bCs/>
          <w:szCs w:val="24"/>
        </w:rPr>
        <w:t>A plaintiff’s claim is barred under the doctrine of laches if</w:t>
      </w:r>
      <w:r>
        <w:rPr>
          <w:rFonts w:cs="Times New Roman"/>
          <w:bCs/>
          <w:szCs w:val="24"/>
        </w:rPr>
        <w:t>:</w:t>
      </w:r>
      <w:r w:rsidRPr="003E0800">
        <w:rPr>
          <w:rFonts w:cs="Times New Roman"/>
          <w:bCs/>
          <w:szCs w:val="24"/>
        </w:rPr>
        <w:t xml:space="preserve"> (i) the plaintiff delayed in brin</w:t>
      </w:r>
      <w:r>
        <w:rPr>
          <w:rFonts w:cs="Times New Roman"/>
          <w:bCs/>
          <w:szCs w:val="24"/>
        </w:rPr>
        <w:t>g</w:t>
      </w:r>
      <w:r w:rsidRPr="003E0800">
        <w:rPr>
          <w:rFonts w:cs="Times New Roman"/>
          <w:bCs/>
          <w:szCs w:val="24"/>
        </w:rPr>
        <w:t>ing his or her claim</w:t>
      </w:r>
      <w:r>
        <w:rPr>
          <w:rFonts w:cs="Times New Roman"/>
          <w:bCs/>
          <w:szCs w:val="24"/>
        </w:rPr>
        <w:t xml:space="preserve">; </w:t>
      </w:r>
      <w:r w:rsidRPr="003E0800">
        <w:rPr>
          <w:rFonts w:cs="Times New Roman"/>
          <w:bCs/>
          <w:szCs w:val="24"/>
        </w:rPr>
        <w:t>(ii) the delay was unreasonable or inexcusable</w:t>
      </w:r>
      <w:r>
        <w:rPr>
          <w:rFonts w:cs="Times New Roman"/>
          <w:bCs/>
          <w:szCs w:val="24"/>
        </w:rPr>
        <w:t xml:space="preserve">; and </w:t>
      </w:r>
      <w:r w:rsidRPr="003E0800">
        <w:rPr>
          <w:rFonts w:cs="Times New Roman"/>
          <w:bCs/>
          <w:szCs w:val="24"/>
        </w:rPr>
        <w:t>(iii) the defendant is prejudiced because of the delay.</w:t>
      </w:r>
      <w:bookmarkEnd w:id="150"/>
      <w:r>
        <w:rPr>
          <w:rFonts w:cs="Times New Roman"/>
          <w:bCs/>
          <w:szCs w:val="24"/>
        </w:rPr>
        <w:t xml:space="preserve"> (</w:t>
      </w:r>
      <w:r>
        <w:rPr>
          <w:rFonts w:cs="Times New Roman"/>
          <w:i/>
          <w:iCs/>
          <w:szCs w:val="24"/>
        </w:rPr>
        <w:t>In re Marriage of Parker</w:t>
      </w:r>
      <w:r>
        <w:rPr>
          <w:rFonts w:cs="Times New Roman"/>
          <w:szCs w:val="24"/>
        </w:rPr>
        <w:t xml:space="preserve"> (2017) 14 Cal.App.5th 681, 688.)</w:t>
      </w:r>
    </w:p>
    <w:p w14:paraId="62E0A9FA" w14:textId="628FCF8A"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AB0637C" w14:textId="0D7B53B1"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4838F89" w14:textId="77777777" w:rsidR="00745226" w:rsidRDefault="00636FD9" w:rsidP="00EA2883">
      <w:pPr>
        <w:pStyle w:val="Heading2"/>
      </w:pPr>
      <w:r w:rsidRPr="00274E8F">
        <w:fldChar w:fldCharType="begin"/>
      </w:r>
      <w:r w:rsidRPr="00274E8F">
        <w:instrText xml:space="preserve"> LISTNUM LegalDefault \l 2 </w:instrText>
      </w:r>
      <w:bookmarkStart w:id="172" w:name="_Toc130368788"/>
      <w:r w:rsidRPr="00274E8F">
        <w:fldChar w:fldCharType="end"/>
      </w:r>
      <w:r w:rsidR="009B5213">
        <w:br/>
      </w:r>
      <w:r>
        <w:t>Waiver</w:t>
      </w:r>
      <w:bookmarkEnd w:id="172"/>
    </w:p>
    <w:p w14:paraId="110F5D07" w14:textId="6D040596"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w:t>
      </w:r>
      <w:r w:rsidR="006F3F42">
        <w:rPr>
          <w:rFonts w:cs="Times New Roman"/>
          <w:bCs/>
          <w:szCs w:val="24"/>
        </w:rPr>
        <w:t>Waiver</w:t>
      </w:r>
    </w:p>
    <w:p w14:paraId="54EDD459" w14:textId="34252BD5" w:rsidR="00745226" w:rsidRDefault="00636FD9" w:rsidP="00636FD9">
      <w:pPr>
        <w:spacing w:after="264"/>
        <w:ind w:left="1080" w:hanging="360"/>
        <w:rPr>
          <w:rFonts w:cs="Times New Roman"/>
          <w:bCs/>
          <w:szCs w:val="24"/>
        </w:rPr>
      </w:pPr>
      <w:r>
        <w:rPr>
          <w:rFonts w:cs="Times New Roman"/>
          <w:bCs/>
          <w:szCs w:val="24"/>
        </w:rPr>
        <w:t>—  As an affirmative defense, waiver is a type of estoppel. It prevents a plaintiff from relying on a right (typically contractual) that the plaintiff would otherwise have no problem being able to enforce. Often, such a waiver exists because the plaintiff did or said something that made the defendant believe that the provision in question was no longer in effect, and defendant relied upon that action/statement. (</w:t>
      </w:r>
      <w:r>
        <w:rPr>
          <w:rFonts w:cs="Times New Roman"/>
          <w:bCs/>
          <w:i/>
          <w:iCs/>
          <w:szCs w:val="24"/>
        </w:rPr>
        <w:t>Wind Dancer Production Group v. Walt Disney Pictures</w:t>
      </w:r>
      <w:r>
        <w:rPr>
          <w:rFonts w:cs="Times New Roman"/>
          <w:bCs/>
          <w:szCs w:val="24"/>
        </w:rPr>
        <w:t xml:space="preserve"> (2017) 10 Cal.App.5th 56, 78.) </w:t>
      </w:r>
    </w:p>
    <w:p w14:paraId="4672139B" w14:textId="7C9CCE4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6563723" w14:textId="27A59169"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B0F67A3" w14:textId="77777777" w:rsidR="00745226" w:rsidRDefault="00636FD9" w:rsidP="00EA2883">
      <w:pPr>
        <w:pStyle w:val="Heading2"/>
      </w:pPr>
      <w:r w:rsidRPr="00274E8F">
        <w:fldChar w:fldCharType="begin"/>
      </w:r>
      <w:r w:rsidRPr="00274E8F">
        <w:instrText xml:space="preserve"> LISTNUM LegalDefault \l 2 </w:instrText>
      </w:r>
      <w:bookmarkStart w:id="175" w:name="_Toc130368791"/>
      <w:r w:rsidRPr="00274E8F">
        <w:fldChar w:fldCharType="end"/>
      </w:r>
      <w:r w:rsidR="002970B7">
        <w:br/>
      </w:r>
      <w:r>
        <w:t>Failure to State a Claim</w:t>
      </w:r>
      <w:bookmarkEnd w:id="175"/>
    </w:p>
    <w:p w14:paraId="7785D464" w14:textId="7FF3C013"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State a Claim</w:t>
      </w:r>
    </w:p>
    <w:p w14:paraId="0780292E" w14:textId="5CA315BD" w:rsidR="00745226" w:rsidRDefault="00636FD9" w:rsidP="00636FD9">
      <w:pPr>
        <w:spacing w:after="264"/>
        <w:ind w:left="1080" w:hanging="360"/>
        <w:rPr>
          <w:rFonts w:cs="Times New Roman"/>
          <w:bCs/>
          <w:szCs w:val="24"/>
        </w:rPr>
      </w:pPr>
      <w:r>
        <w:rPr>
          <w:rFonts w:cs="Times New Roman"/>
          <w:bCs/>
          <w:szCs w:val="24"/>
        </w:rPr>
        <w:t xml:space="preserve">—  </w:t>
      </w:r>
      <w:r w:rsidRPr="007F5801">
        <w:rPr>
          <w:rFonts w:cs="Times New Roman"/>
          <w:bCs/>
          <w:szCs w:val="24"/>
        </w:rPr>
        <w:t>This affirmative defense applies if the plaintiff fails to state facts sufficient to constitute a cause of action. (Code Civ. Proc.</w:t>
      </w:r>
      <w:r>
        <w:rPr>
          <w:rFonts w:cs="Times New Roman"/>
          <w:bCs/>
          <w:szCs w:val="24"/>
        </w:rPr>
        <w:t>,</w:t>
      </w:r>
      <w:r w:rsidRPr="007F5801">
        <w:rPr>
          <w:rFonts w:cs="Times New Roman"/>
          <w:bCs/>
          <w:szCs w:val="24"/>
        </w:rPr>
        <w:t xml:space="preserve"> § 430.10(e).)</w:t>
      </w:r>
    </w:p>
    <w:p w14:paraId="705FE65C" w14:textId="3CFC5ACE"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EA19487" w14:textId="70DA2F1B"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8D8E6F2" w14:textId="26CF1970" w:rsidR="002C3B40" w:rsidRDefault="002C3B40" w:rsidP="002C3B40">
      <w:pPr>
        <w:pStyle w:val="NormalEnd"/>
      </w:pPr>
      <w:r>
        <w:t>This section of the LADD may be amended from time to time if new information/evidence comes to light that supports additional affirmative defenses.</w:t>
      </w:r>
    </w:p>
    <w:p w14:paraId="32A1B46F" w14:textId="77777777" w:rsidR="00AA7954" w:rsidRPr="00AA7954" w:rsidRDefault="00AA7954" w:rsidP="00AA7954">
      <w:pPr>
        <w:spacing w:after="264"/>
        <w:jc w:val="center"/>
        <w:rPr>
          <w:color w:val="000099"/>
        </w:rPr>
      </w:pPr>
      <w:r w:rsidRPr="00AA7954">
        <w:rPr>
          <w:color w:val="000099"/>
        </w:rPr>
        <w:t>________________________________</w:t>
      </w:r>
    </w:p>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420E2D8A" w14:textId="13E28C78" w:rsidR="00E81A21" w:rsidRDefault="00E81A21" w:rsidP="00E81A21">
      <w:pPr>
        <w:spacing w:after="264"/>
      </w:pPr>
      <w:r>
        <w:t xml:space="preserve">This section is </w:t>
      </w:r>
      <w:r>
        <w:rPr>
          <w:i/>
          <w:iCs/>
        </w:rPr>
        <w:t>not</w:t>
      </w:r>
      <w:r>
        <w:t xml:space="preserve"> intended to address whether or not the statute of limitations has run on a particular cross-claim that might have otherwise been relevant under the facts. Those specifics can be found in reference to each of the potential cross-claims discussed above. </w:t>
      </w:r>
    </w:p>
    <w:p w14:paraId="4A1825B9" w14:textId="68A9BB67" w:rsidR="00E81A21" w:rsidRDefault="00E81A21" w:rsidP="00E81A21">
      <w:pPr>
        <w:spacing w:after="264"/>
      </w:pPr>
      <w:r>
        <w:t>Rather, this section of the LADD is intended only to highlight the earliest statute of limitations relevant to one of the available above-referenced cross-claims. If</w:t>
      </w:r>
      <w:r w:rsidR="003E431D">
        <w:t>, therefore,</w:t>
      </w:r>
      <w:r>
        <w:t xml:space="preserve"> Client wants to file a cross-complaint containing the applicable the causes of action discussed above, the action must be filed on or before </w:t>
      </w:r>
      <w:r>
        <w:rPr>
          <w:rFonts w:cs="Times New Roman"/>
          <w:b/>
          <w:bCs/>
          <w:color w:val="C00000"/>
          <w:szCs w:val="24"/>
          <w:u w:val="single"/>
        </w:rPr>
        <w:t/>
      </w:r>
      <w:r>
        <w:t>.</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3903CD86" w14:textId="77777777" w:rsidR="00745226" w:rsidRDefault="00DF1B53" w:rsidP="00DF1B53">
      <w:pPr>
        <w:spacing w:after="264"/>
        <w:rPr>
          <w:rFonts w:cs="Times New Roman"/>
          <w:bCs/>
          <w:szCs w:val="24"/>
        </w:rPr>
      </w:pPr>
      <w:r w:rsidRPr="00020852">
        <w:rPr>
          <w:rFonts w:cs="Times New Roman"/>
          <w:bCs/>
          <w:szCs w:val="24"/>
        </w:rPr>
        <w:t xml:space="preserve">The Davis-Stirling Act does </w:t>
      </w:r>
      <w:r w:rsidRPr="00020852">
        <w:rPr>
          <w:rFonts w:cs="Times New Roman"/>
          <w:bCs/>
          <w:i/>
          <w:iCs/>
          <w:szCs w:val="24"/>
        </w:rPr>
        <w:t>not</w:t>
      </w:r>
      <w:r w:rsidRPr="00020852">
        <w:rPr>
          <w:rFonts w:cs="Times New Roman"/>
          <w:bCs/>
          <w:szCs w:val="24"/>
        </w:rPr>
        <w:t xml:space="preserve"> apply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Riverside</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Riverside</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1DE283D4" w14:textId="3CF82440" w:rsidR="00816AF1" w:rsidRDefault="00F669D7" w:rsidP="00816AF1">
      <w:pPr>
        <w:spacing w:after="264"/>
      </w:pPr>
      <w:r>
        <w:t>Based upon the information/evidence that Client has provided thus far, it appears that the opposing party has standing to pursue each of the claims alleged against Client.</w:t>
      </w:r>
    </w:p>
    <w:p w14:paraId="7EB1AFF6" w14:textId="3E24DBF4" w:rsidR="00F410A2" w:rsidRDefault="005D1E92" w:rsidP="00DB29DE">
      <w:pPr>
        <w:spacing w:after="264"/>
      </w:pPr>
      <w:r>
        <w:t>Based upon the information/evidence that Client has provided thus far, Client has standing to pursue every cross-claim described above against each of the intended defendants (excluding DOES, of course).</w:t>
      </w:r>
    </w:p>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2F83F267" w14:textId="068F3149" w:rsidR="00A35502" w:rsidRDefault="00A35502" w:rsidP="004F0F08">
      <w:pPr>
        <w:pStyle w:val="NormalEnd"/>
      </w:pPr>
      <w:r>
        <w:t>T</w:t>
      </w:r>
      <w:r w:rsidRPr="00020852">
        <w:t xml:space="preserve">he prevailing party </w:t>
      </w:r>
      <w:r w:rsidR="00613F30">
        <w:t>is</w:t>
      </w:r>
      <w:r w:rsidRPr="00020852">
        <w:t xml:space="preserve"> entitled to attorneys’ fees and costs under </w:t>
      </w:r>
      <w:r>
        <w:t>Article V, Section 5.03</w:t>
      </w:r>
      <w:r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Yu adv. Los Ranchitos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