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Sholtes v. Montecito Gardens HOA and Luna Drake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Client owns the real property located at 7035 Woodley Avenue, Unit 210, Van Nuys, CA 91406 (the "Property"), one of 100 condominiums within the Montecito Gardens Homeowners Association (the "HOA"). He sought legal representation to pursue the HOA with respect to its multiple breaches of the Davis-Stirling Act, failure to maintain the common areas, and lack of transparency especially pertaining to a $55,000 special assessment to rehabilitate, repair, and replace several common area elements. In addition, Client intends to pursue the prior owner of the Property (who served on the HOA’s board of directors for several years) for failure to disclose the anticipated $55,000 special assessment despite her specific and actual knowledge of it. Although the special assessment was not formally passed until after Client purchased the Property, it was discussed in various board meetings and townhall meetings prior to the sale and Client contends that the seller consciously and knowingly failed to disclose it because she knew it would constitute a material defect with the condominium. Consequently, Client seeks to recoup the $55,000 from the prior owner and any additional remedies he is entitled to as a matter of law.</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Stephen Sholtes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Montecito Gardens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Luna P. Drake, as trustee of The Puna Po Drake Living Trust ("Drake")</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Seller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 Section 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VIII, Section 7</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Sholtes v. Montecito Gardens HOA and Luna Drake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