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Rivas v. Greystone Villas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have owned the real property located at 4 Birdie Lane, Coto De Caza, CA 92679 (the "Property") for decades. They are original owners in the development.
          <w:br/>
          <w:br/>
          Since he moved into the HOA, Robert "Bob" Curran, who has been a board member, has harassed and interfered with Clients’ quiet use and enjoyment of the Property. Curran has challenged Clients’ architectural requests, interfered with construction at the Property, invaded in Clients’ privacy, and sought that the board places stricter requirements against Clients.
          <w:br/>
          <w:br/>
          While the majority of the combativeness and hostility comes from Curran, Clients contend that Curran is racially prejudice against them (Louis is HIspanic) and the other board members are complicit in his wrongful conduct and abuse of authority.
          <w:br/>
          <w:br/>
          Clients has viable claims against the HOA for the following:
          <w:br/>
          <w:br/>
          (i) breach of the governing documents;
          <w:br/>
          (ii) breach of fiduciary duty; and
          <w:br/>
          (iii) nuisance.
          <w:br/>
          <w:br/>
          Client has viable claims against Curran for the following:
          <w:br/>
          <w:br/>
          (i) nuisance;
          <w:br/>
          (ii) trespass; and
          <w:br/>
          (iii) mail fraud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Louis and Joan Rivas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Greystone Villas Community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Robert Curran ("Curran")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President of the Board</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 Section 15.3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 Section 15.1(i)</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Rivas v. Greystone Villas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