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Roushanzamir v. Hopkins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6C1630" w:rsidP="00FD77B5">
      <w:pPr>
        <w:spacing w:afterLines="0" w:after="0"/>
        <w:jc w:val="center"/>
        <w:rPr>
          <w:rFonts w:cs="Times New Roman"/>
          <w:sz w:val="28"/>
          <w:szCs w:val="28"/>
        </w:rPr>
      </w:pPr>
      <w:r>
        <w:rPr>
          <w:rFonts w:cs="Times New Roman"/>
          <w:color w:val="000099"/>
          <w:sz w:val="28"/>
          <w:szCs w:val="28"/>
        </w:rPr>
        <w:t>CVRI2400337</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6C1630" w:rsidP="00246DB4">
            <w:pPr>
              <w:spacing w:afterLines="0" w:after="0"/>
              <w:rPr>
                <w:rFonts w:ascii="Times New Roman" w:hAnsi="Times New Roman" w:cs="Times New Roman"/>
                <w:sz w:val="20"/>
                <w:szCs w:val="20"/>
              </w:rPr>
            </w:pPr>
            <w:r>
              <w:rPr>
                <w:rFonts w:cs="Times New Roman"/>
                <w:sz w:val="20"/>
                <w:szCs w:val="20"/>
              </w:rPr>
              <w:t>Deanna Mae Hopkins, individually and as trustee of the Hopkins Anglin Family Trust ("Client")</w:t>
            </w:r>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Derek and Cammy Hardister ("Hardister")</w:t>
            </w:r>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Client/Owners of 19960 Winton Street, Corona, CA 92882 ("Hardister Property")</w:t>
            </w:r>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Terry Schwichtenberg ("Schwichtenberg")</w:t>
            </w:r>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Owner of 3204 Chris Wren Circle, Corona, CA 92881 ("Schwichtenberg Property")</w:t>
            </w:r>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Felipe Ortega ("Ortega")</w:t>
            </w:r>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Owner of 20015 Winton Street, Corona, CA 92881</w:t>
            </w:r>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4709D6">
        <w:rPr>
          <w:szCs w:val="24"/>
        </w:rPr>
        <w:t>RESERVED</w:t>
      </w:r>
      <w:proofErr w:type="spellEnd"/>
      <w:bookmarkEnd w:id="4"/>
    </w:p>
    <w:p w14:paraId="32312727" w14:textId="55CC841E" w:rsidR="004709D6" w:rsidRDefault="004709D6" w:rsidP="004709D6">
      <w:pPr>
        <w:spacing w:after="264"/>
        <w:rPr>
          <w:rFonts w:cs="Times New Roman"/>
        </w:rPr>
      </w:pPr>
      <w:r>
        <w:rPr>
          <w:rFonts w:cs="Times New Roman"/>
        </w:rPr>
        <w:t>RESERVED.</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bookmarkEnd w:id="18"/>
    </w:p>
    <w:p w14:paraId="32E806B1" w14:textId="4ACC42F8" w:rsidR="00116725" w:rsidRDefault="00116725" w:rsidP="001257C8">
      <w:pPr>
        <w:pStyle w:val="Line"/>
      </w:pPr>
      <w:r w:rsidRPr="00E9159A">
        <w:t>________________________________</w:t>
      </w:r>
    </w:p>
    <w:bookmarkStart w:id="141" w:name="_Toc130368761"/>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2" w:name="_Toc130368762"/>
      <w:r w:rsidRPr="00D536E3">
        <w:fldChar w:fldCharType="end"/>
      </w:r>
      <w:r w:rsidR="000B75CA">
        <w:br/>
      </w:r>
      <w:r w:rsidR="00DD2768" w:rsidRPr="00A66858">
        <w:t>POTENTIAL AFFIRMATIVE DEFENSES</w:t>
      </w:r>
      <w:bookmarkEnd w:id="142"/>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5" w:name="_Toc130368764"/>
      <w:r w:rsidRPr="00274E8F">
        <w:fldChar w:fldCharType="end"/>
      </w:r>
      <w:r w:rsidR="009B5213">
        <w:br/>
      </w:r>
      <w:r>
        <w:t>Statute of Limitations</w:t>
      </w:r>
      <w:bookmarkEnd w:id="145"/>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6" w:name="_Toc130368765"/>
      <w:r w:rsidRPr="00274E8F">
        <w:fldChar w:fldCharType="end"/>
      </w:r>
      <w:r w:rsidR="009B5213">
        <w:br/>
      </w:r>
      <w:r>
        <w:t>Equitable Estoppel</w:t>
      </w:r>
      <w:bookmarkEnd w:id="146"/>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7" w:name="_Toc130368766"/>
      <w:r w:rsidRPr="00274E8F">
        <w:fldChar w:fldCharType="end"/>
      </w:r>
      <w:r w:rsidR="009B5213">
        <w:br/>
      </w:r>
      <w:r>
        <w:t>Unclean Hands</w:t>
      </w:r>
      <w:bookmarkEnd w:id="147"/>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8" w:name="_Toc130368767"/>
      <w:r w:rsidRPr="00274E8F">
        <w:fldChar w:fldCharType="end"/>
      </w:r>
      <w:r w:rsidR="009B5213">
        <w:br/>
      </w:r>
      <w:r>
        <w:t>Laches</w:t>
      </w:r>
      <w:bookmarkEnd w:id="148"/>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9"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9"/>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50" w:name="_Toc130368768"/>
      <w:r w:rsidRPr="00274E8F">
        <w:fldChar w:fldCharType="end"/>
      </w:r>
      <w:r w:rsidR="009B5213">
        <w:br/>
      </w:r>
      <w:r>
        <w:t>Negligence (Comparative Fault)</w:t>
      </w:r>
      <w:bookmarkEnd w:id="150"/>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51" w:name="_Toc130368769"/>
      <w:r w:rsidRPr="00274E8F">
        <w:fldChar w:fldCharType="end"/>
      </w:r>
      <w:r w:rsidR="009B5213">
        <w:br/>
      </w:r>
      <w:r>
        <w:t>Apportionment</w:t>
      </w:r>
      <w:bookmarkEnd w:id="151"/>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52" w:name="_Toc130368770"/>
      <w:r w:rsidRPr="00274E8F">
        <w:fldChar w:fldCharType="end"/>
      </w:r>
      <w:r w:rsidR="009B5213">
        <w:br/>
      </w:r>
      <w:r>
        <w:t>Negligence (Sudden Emergency)</w:t>
      </w:r>
      <w:bookmarkEnd w:id="152"/>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3" w:name="_Toc130368771"/>
      <w:r w:rsidRPr="00274E8F">
        <w:fldChar w:fldCharType="end"/>
      </w:r>
      <w:r w:rsidR="009B5213">
        <w:br/>
      </w:r>
      <w:r>
        <w:t>Assumption of Risk</w:t>
      </w:r>
      <w:bookmarkEnd w:id="153"/>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1" w:name="_Toc130368788"/>
      <w:r w:rsidRPr="00274E8F">
        <w:fldChar w:fldCharType="end"/>
      </w:r>
      <w:r w:rsidR="009B5213">
        <w:br/>
      </w:r>
      <w:r>
        <w:t>Waiver</w:t>
      </w:r>
      <w:bookmarkEnd w:id="171"/>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2" w:name="_Toc130368789"/>
      <w:r w:rsidRPr="00274E8F">
        <w:fldChar w:fldCharType="end"/>
      </w:r>
      <w:r w:rsidR="002970B7">
        <w:br/>
      </w:r>
      <w:r>
        <w:t>Failure to Mitigate</w:t>
      </w:r>
      <w:bookmarkEnd w:id="172"/>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3" w:name="_Toc130368790"/>
      <w:r w:rsidRPr="00274E8F">
        <w:fldChar w:fldCharType="end"/>
      </w:r>
      <w:r w:rsidR="002970B7">
        <w:br/>
      </w:r>
      <w:r>
        <w:t>Lack of Damages</w:t>
      </w:r>
      <w:bookmarkEnd w:id="173"/>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4" w:name="_Toc130368791"/>
      <w:r w:rsidRPr="00274E8F">
        <w:fldChar w:fldCharType="end"/>
      </w:r>
      <w:r w:rsidR="002970B7">
        <w:br/>
      </w:r>
      <w:r>
        <w:t>Failure to State a Claim</w:t>
      </w:r>
      <w:bookmarkEnd w:id="174"/>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5" w:name="_Toc130368792"/>
      <w:r w:rsidRPr="00274E8F">
        <w:fldChar w:fldCharType="end"/>
      </w:r>
      <w:r w:rsidR="002970B7">
        <w:br/>
      </w:r>
      <w:r>
        <w:t>No Causation</w:t>
      </w:r>
      <w:bookmarkEnd w:id="175"/>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6" w:name="_Toc130368793"/>
      <w:r w:rsidRPr="00274E8F">
        <w:fldChar w:fldCharType="end"/>
      </w:r>
      <w:r w:rsidR="002970B7">
        <w:br/>
      </w:r>
      <w:r>
        <w:t>Justification</w:t>
      </w:r>
      <w:bookmarkEnd w:id="176"/>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7"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7"/>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8" w:name="_Toc130368794"/>
      <w:r w:rsidRPr="00274E8F">
        <w:fldChar w:fldCharType="end"/>
      </w:r>
      <w:r w:rsidR="002970B7">
        <w:br/>
      </w:r>
      <w:r>
        <w:t>Ratification</w:t>
      </w:r>
      <w:bookmarkEnd w:id="178"/>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9"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9"/>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81" w:name="_Toc130368796"/>
      <w:r w:rsidRPr="00274E8F">
        <w:fldChar w:fldCharType="end"/>
      </w:r>
      <w:r w:rsidR="002970B7">
        <w:br/>
      </w:r>
      <w:r>
        <w:t>Consent</w:t>
      </w:r>
      <w:bookmarkEnd w:id="181"/>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82" w:name="_Toc130368797"/>
      <w:r w:rsidRPr="00274E8F">
        <w:fldChar w:fldCharType="end"/>
      </w:r>
      <w:r w:rsidR="002970B7">
        <w:br/>
      </w:r>
      <w:r>
        <w:t>Necessity</w:t>
      </w:r>
      <w:bookmarkEnd w:id="182"/>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3" w:name="_Toc130368798"/>
      <w:r w:rsidRPr="00274E8F">
        <w:fldChar w:fldCharType="end"/>
      </w:r>
      <w:r w:rsidR="002970B7">
        <w:br/>
      </w:r>
      <w:r>
        <w:t>Private Necessity</w:t>
      </w:r>
      <w:bookmarkEnd w:id="183"/>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4" w:name="_Toc130368799"/>
      <w:r w:rsidRPr="00274E8F">
        <w:fldChar w:fldCharType="end"/>
      </w:r>
      <w:r w:rsidR="002970B7">
        <w:br/>
      </w:r>
      <w:r>
        <w:t>Equitable Easement</w:t>
      </w:r>
      <w:bookmarkEnd w:id="184"/>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r>
        <w:rPr>
          <w:rFonts w:cs="Times New Roman"/>
          <w:bCs/>
          <w:szCs w:val="24"/>
        </w:rPr>
        <w:t>Riverside</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031055CF" w14:textId="5CA252A1" w:rsidR="00977CF1" w:rsidRDefault="006C1630" w:rsidP="00977CF1">
      <w:pPr>
        <w:spacing w:after="264"/>
      </w:pPr>
      <w:r>
        <w:rPr>
          <w:rFonts w:cs="Times New Roman"/>
          <w:szCs w:val="24"/>
        </w:rPr>
        <w:t>Riverside</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3"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3"/>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Roushanzamir v. Hopkins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