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Mehranrazi v. Westlake North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60523BEC" w14:textId="2FE06E7B" w:rsidR="00EA5B5F" w:rsidRPr="002A5E05" w:rsidRDefault="00CF4167" w:rsidP="00FD77B5">
      <w:pPr>
        <w:spacing w:afterLines="0" w:after="0"/>
        <w:jc w:val="center"/>
        <w:rPr>
          <w:rFonts w:cs="Times New Roman"/>
          <w:sz w:val="28"/>
          <w:szCs w:val="28"/>
        </w:rPr>
      </w:pPr>
      <w:r>
        <w:rPr>
          <w:rFonts w:cs="Times New Roman"/>
          <w:color w:val="000099"/>
          <w:sz w:val="28"/>
          <w:szCs w:val="28"/>
        </w:rPr>
        <w:t>2026CUOR065763</w:t>
      </w: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JG</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TBD</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CF4167" w:rsidP="00B83DD4">
            <w:pPr>
              <w:spacing w:afterLines="0" w:after="0"/>
              <w:rPr>
                <w:rFonts w:ascii="Times New Roman" w:hAnsi="Times New Roman" w:cs="Times New Roman"/>
                <w:sz w:val="20"/>
                <w:szCs w:val="20"/>
              </w:rPr>
            </w:pPr>
            <w:r>
              <w:rPr>
                <w:rFonts w:cs="Times New Roman"/>
                <w:sz w:val="20"/>
                <w:szCs w:val="20"/>
              </w:rPr>
              <w:t>Ali Mehranrazi</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Westlake North Property Owners Association</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HOA</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TBD</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TBD</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Pr="00EA2883">
        <w:t xml:space="preserve">POTENTIAL CROSS-CLAIMS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bookmarkStart w:id="25" w:name="_Hlk131406768"/>
    <w:p w14:paraId="47FCF737" w14:textId="77777777" w:rsidR="00DC2A99" w:rsidRDefault="00DC2A99" w:rsidP="00DC2A99">
      <w:pPr>
        <w:spacing w:after="264"/>
        <w:ind w:left="1080" w:hanging="360"/>
        <w:rPr>
          <w:rFonts w:cs="Times New Roman"/>
          <w:bCs/>
          <w:szCs w:val="24"/>
        </w:rPr>
      </w:pPr>
      <w:r w:rsidRPr="00020852">
        <w:rPr>
          <w:rFonts w:cs="Times New Roman"/>
          <w:bCs/>
          <w:szCs w:val="24"/>
        </w:rPr>
        <w:lastRenderedPageBreak/>
        <w:t>—  “A decision on a proposed change shall be made in good faith and may not be unreasonable, arbitrary, or capricious.” (Civ. Code, § 4765(a)(2).) “It is a settled rule of law that homeowners’ associations must exercise their authority to approve or disapprove an individual homeowner’s construction or improvement plans in conformity with the declaration of covenants and restrictions, and in good faith. (</w:t>
      </w:r>
      <w:r w:rsidRPr="00020852">
        <w:rPr>
          <w:rFonts w:cs="Times New Roman"/>
          <w:bCs/>
          <w:i/>
          <w:iCs/>
          <w:szCs w:val="24"/>
        </w:rPr>
        <w:t>Hannula v. Hacienda Homes</w:t>
      </w:r>
      <w:r w:rsidRPr="00020852">
        <w:rPr>
          <w:rFonts w:cs="Times New Roman"/>
          <w:bCs/>
          <w:szCs w:val="24"/>
        </w:rPr>
        <w:t xml:space="preserve"> (1949) 34 Cal.2d 442, 447; </w:t>
      </w:r>
      <w:r w:rsidRPr="00020852">
        <w:rPr>
          <w:rFonts w:cs="Times New Roman"/>
          <w:bCs/>
          <w:i/>
          <w:iCs/>
          <w:szCs w:val="24"/>
        </w:rPr>
        <w:t>Branwell v. Kuhle</w:t>
      </w:r>
      <w:r w:rsidRPr="00020852">
        <w:rPr>
          <w:rFonts w:cs="Times New Roman"/>
          <w:bCs/>
          <w:szCs w:val="24"/>
        </w:rPr>
        <w:t xml:space="preserve"> (1960) 183 Cal.App.2d 767, 779.) As the court in Hannula stated: ‘Each of the decisions enforcing like restrictions has held that the refusal to approve plans must be a reasonable determination made in good faith.’ (</w:t>
      </w:r>
      <w:r w:rsidRPr="00020852">
        <w:rPr>
          <w:rFonts w:cs="Times New Roman"/>
          <w:bCs/>
          <w:i/>
          <w:iCs/>
          <w:szCs w:val="24"/>
        </w:rPr>
        <w:t>Hannula v. Hacienda Homes</w:t>
      </w:r>
      <w:r w:rsidRPr="00020852">
        <w:rPr>
          <w:rFonts w:cs="Times New Roman"/>
          <w:bCs/>
          <w:szCs w:val="24"/>
        </w:rPr>
        <w:t>, supra, 34 Cal.2d 442, 447.) The converse should likewise be true, ... ‘[T]he power to approve plans ... must not be exercised capriciously or arbitrarily.’ (</w:t>
      </w:r>
      <w:r w:rsidRPr="00020852">
        <w:rPr>
          <w:rFonts w:cs="Times New Roman"/>
          <w:bCs/>
          <w:i/>
          <w:iCs/>
          <w:szCs w:val="24"/>
        </w:rPr>
        <w:t>Bramwell v. Kuhle</w:t>
      </w:r>
      <w:r w:rsidRPr="00020852">
        <w:rPr>
          <w:rFonts w:cs="Times New Roman"/>
          <w:bCs/>
          <w:szCs w:val="24"/>
        </w:rPr>
        <w:t>, supra, 183 Cal.App.2d 767, 779); [Citations]” (</w:t>
      </w:r>
      <w:r w:rsidRPr="00020852">
        <w:rPr>
          <w:rFonts w:cs="Times New Roman"/>
          <w:bCs/>
          <w:i/>
          <w:iCs/>
          <w:szCs w:val="24"/>
        </w:rPr>
        <w:t>Cohen v. Kite Hill Community Assn</w:t>
      </w:r>
      <w:r w:rsidRPr="00020852">
        <w:rPr>
          <w:rFonts w:cs="Times New Roman"/>
          <w:bCs/>
          <w:szCs w:val="24"/>
        </w:rPr>
        <w:t xml:space="preserve">. (1983) 142 Cal.App.3d 642.) </w:t>
      </w:r>
    </w:p>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7E456EE1" w14:textId="138A7F76" w:rsidR="00F27DCB" w:rsidRDefault="00F27DCB" w:rsidP="00F27DCB">
      <w:pPr>
        <w:spacing w:after="264"/>
        <w:ind w:left="1080" w:hanging="360"/>
        <w:rPr>
          <w:rStyle w:val="property1"/>
          <w:rFonts w:eastAsia="Times New Roman" w:cs="Times New Roman"/>
        </w:rPr>
      </w:pPr>
      <w:r w:rsidRPr="00020852">
        <w:rPr>
          <w:rFonts w:cs="Times New Roman"/>
          <w:bCs/>
          <w:szCs w:val="24"/>
        </w:rPr>
        <w:t xml:space="preserve">—  The </w:t>
      </w:r>
      <w:r w:rsidR="002D579F">
        <w:rPr>
          <w:rFonts w:cs="Times New Roman"/>
          <w:bCs/>
          <w:szCs w:val="24"/>
        </w:rPr>
        <w:t xml:space="preserve">standards by which an HOA must review a homeowner’s architectural plans </w:t>
      </w:r>
      <w:r w:rsidRPr="00020852">
        <w:rPr>
          <w:rFonts w:cs="Times New Roman"/>
          <w:bCs/>
          <w:szCs w:val="24"/>
        </w:rPr>
        <w:t>discussed in the context of the “</w:t>
      </w:r>
      <w:r w:rsidR="002D579F">
        <w:rPr>
          <w:rFonts w:cs="Times New Roman"/>
          <w:bCs/>
          <w:szCs w:val="24"/>
        </w:rPr>
        <w:t>Breach of CC&amp;Rs</w:t>
      </w:r>
      <w:r w:rsidRPr="00020852">
        <w:rPr>
          <w:rFonts w:cs="Times New Roman"/>
          <w:bCs/>
          <w:szCs w:val="24"/>
        </w:rPr>
        <w:t xml:space="preserve">” cause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26150F01" w14:textId="16507B08"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Article 9, section 9.11</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B62EC5E" w14:textId="5722137C" w:rsidR="00745226" w:rsidRDefault="008C67F5" w:rsidP="00EA2883">
      <w:pPr>
        <w:pStyle w:val="Heading2"/>
      </w:pPr>
      <w:r w:rsidRPr="00020852">
        <w:lastRenderedPageBreak/>
        <w:fldChar w:fldCharType="begin"/>
      </w:r>
      <w:r w:rsidRPr="00020852">
        <w:instrText xml:space="preserve"> LISTNUM LegalDefault \l 2 </w:instrText>
      </w:r>
      <w:bookmarkStart w:id="40" w:name="_Toc130368712"/>
      <w:r w:rsidRPr="00020852">
        <w:fldChar w:fldCharType="end"/>
      </w:r>
      <w:r w:rsidR="007214CC">
        <w:br/>
      </w:r>
      <w:r w:rsidRPr="00020852">
        <w:t>Trespass</w:t>
      </w:r>
      <w:bookmarkEnd w:id="40"/>
    </w:p>
    <w:p w14:paraId="0F404763" w14:textId="0FA54181"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—Trespass</w:t>
      </w:r>
    </w:p>
    <w:p w14:paraId="74EC3B77" w14:textId="77777777" w:rsidR="00745226" w:rsidRDefault="008C67F5" w:rsidP="008C67F5">
      <w:pPr>
        <w:spacing w:after="264"/>
        <w:ind w:left="1080" w:hanging="360"/>
        <w:rPr>
          <w:rFonts w:cs="Times New Roman"/>
          <w:bCs/>
          <w:szCs w:val="24"/>
        </w:rPr>
      </w:pPr>
      <w:r w:rsidRPr="00020852">
        <w:rPr>
          <w:rFonts w:cs="Times New Roman"/>
          <w:bCs/>
          <w:szCs w:val="24"/>
        </w:rPr>
        <w:t>—  “A trespass is an invasion of the interest in the exclusive possession of land, as by entry upon it.” (</w:t>
      </w:r>
      <w:r w:rsidRPr="00020852">
        <w:rPr>
          <w:rFonts w:cs="Times New Roman"/>
          <w:bCs/>
          <w:i/>
          <w:iCs/>
          <w:szCs w:val="24"/>
        </w:rPr>
        <w:t>Wilson v. Interlake Steel Co.</w:t>
      </w:r>
      <w:r w:rsidRPr="00020852">
        <w:rPr>
          <w:rFonts w:cs="Times New Roman"/>
          <w:bCs/>
          <w:szCs w:val="24"/>
        </w:rPr>
        <w:t xml:space="preserve"> (1982) 32 Cal.3d 229, 233.) “The essence of the cause of action for trespass is an ‘unauthorized entry’ onto the land of another.” (</w:t>
      </w:r>
      <w:r w:rsidRPr="00020852">
        <w:rPr>
          <w:rFonts w:cs="Times New Roman"/>
          <w:bCs/>
          <w:i/>
          <w:iCs/>
          <w:szCs w:val="24"/>
        </w:rPr>
        <w:t>Cassinos v. Union Oil Co.</w:t>
      </w:r>
      <w:r w:rsidRPr="00020852">
        <w:rPr>
          <w:rFonts w:cs="Times New Roman"/>
          <w:bCs/>
          <w:szCs w:val="24"/>
        </w:rPr>
        <w:t xml:space="preserve"> (1993) 14 Cal.App.4th 1770, 1778) [trespass where wastewater was injected from defendant’s property to plaintiff’s, interfering with plaintiff’s mineral estate]. </w:t>
      </w:r>
    </w:p>
    <w:p w14:paraId="415D1A7D" w14:textId="77777777" w:rsidR="00745226" w:rsidRDefault="008C67F5" w:rsidP="008C67F5">
      <w:pPr>
        <w:spacing w:after="264"/>
        <w:ind w:left="1080" w:hanging="360"/>
        <w:rPr>
          <w:rFonts w:cs="Times New Roman"/>
          <w:bCs/>
          <w:szCs w:val="24"/>
        </w:rPr>
      </w:pPr>
      <w:r w:rsidRPr="00020852">
        <w:rPr>
          <w:rFonts w:cs="Times New Roman"/>
          <w:bCs/>
          <w:szCs w:val="24"/>
        </w:rPr>
        <w:t xml:space="preserve">—  An action for trespass may technically be maintained only by one whose right to possession has been violated (see generally, Prosser, Law of Torts, (4th ed.) § 13, p. 69; </w:t>
      </w:r>
      <w:proofErr w:type="spellStart"/>
      <w:r w:rsidRPr="00020852">
        <w:rPr>
          <w:rFonts w:cs="Times New Roman"/>
          <w:bCs/>
          <w:i/>
          <w:iCs/>
          <w:szCs w:val="24"/>
        </w:rPr>
        <w:t>Uttendorffer</w:t>
      </w:r>
      <w:proofErr w:type="spellEnd"/>
      <w:r w:rsidRPr="00020852">
        <w:rPr>
          <w:rFonts w:cs="Times New Roman"/>
          <w:bCs/>
          <w:i/>
          <w:iCs/>
          <w:szCs w:val="24"/>
        </w:rPr>
        <w:t xml:space="preserve"> v. Saegers</w:t>
      </w:r>
      <w:r w:rsidRPr="00020852">
        <w:rPr>
          <w:rFonts w:cs="Times New Roman"/>
          <w:bCs/>
          <w:szCs w:val="24"/>
        </w:rPr>
        <w:t xml:space="preserve"> (1875) 50 Cal. 496, 497–498); however, an out-of-possession property owner may recover for an injury to the land by a trespasser which damages the ownership interest. (</w:t>
      </w:r>
      <w:r w:rsidRPr="00020852">
        <w:rPr>
          <w:rFonts w:cs="Times New Roman"/>
          <w:bCs/>
          <w:i/>
          <w:iCs/>
          <w:szCs w:val="24"/>
        </w:rPr>
        <w:t>Rogers v. Duhart</w:t>
      </w:r>
      <w:r w:rsidRPr="00020852">
        <w:rPr>
          <w:rFonts w:cs="Times New Roman"/>
          <w:bCs/>
          <w:szCs w:val="24"/>
        </w:rPr>
        <w:t xml:space="preserve"> (1893) 97 Cal. 500, 504–505)[citations]” (</w:t>
      </w:r>
      <w:r w:rsidRPr="00020852">
        <w:rPr>
          <w:rFonts w:cs="Times New Roman"/>
          <w:bCs/>
          <w:i/>
          <w:iCs/>
          <w:szCs w:val="24"/>
        </w:rPr>
        <w:t>Smith v. Cap Concrete, Inc.</w:t>
      </w:r>
      <w:r w:rsidRPr="00020852">
        <w:rPr>
          <w:rFonts w:cs="Times New Roman"/>
          <w:bCs/>
          <w:szCs w:val="24"/>
        </w:rPr>
        <w:t xml:space="preserve"> (1982) 133 Cal.App.3d 769, 774.) In other words, a plaintiff asserting a claim for trespass must have a possessory interest in the land at issue; mere ownership is not sufficient. (</w:t>
      </w:r>
      <w:r w:rsidRPr="00020852">
        <w:rPr>
          <w:rFonts w:cs="Times New Roman"/>
          <w:bCs/>
          <w:i/>
          <w:iCs/>
          <w:szCs w:val="24"/>
        </w:rPr>
        <w:t>Dieterich Int’l Truck Sales, Inc. v. J.S. &amp; J. Servs. Inc.</w:t>
      </w:r>
      <w:r w:rsidRPr="00020852">
        <w:rPr>
          <w:rFonts w:cs="Times New Roman"/>
          <w:bCs/>
          <w:szCs w:val="24"/>
        </w:rPr>
        <w:t xml:space="preserve"> (1992) 3 Cal.App.4th 1601, 1608–10.)</w:t>
      </w:r>
    </w:p>
    <w:p w14:paraId="1BFB7CC6" w14:textId="77777777" w:rsidR="00745226" w:rsidRDefault="008C67F5" w:rsidP="008C67F5">
      <w:pPr>
        <w:spacing w:after="264"/>
        <w:ind w:left="1080" w:hanging="360"/>
        <w:rPr>
          <w:rFonts w:cs="Times New Roman"/>
          <w:bCs/>
          <w:szCs w:val="24"/>
        </w:rPr>
      </w:pPr>
      <w:r w:rsidRPr="00020852">
        <w:rPr>
          <w:rFonts w:cs="Times New Roman"/>
          <w:bCs/>
          <w:szCs w:val="24"/>
        </w:rPr>
        <w:t>—  Where possession is an issue, courts have held that “whether plaintiff’s relationship to the land amounts to possession within the meaning of the foregoing principles is a question of fact to be determined by the jury (</w:t>
      </w:r>
      <w:r w:rsidRPr="00020852">
        <w:rPr>
          <w:rFonts w:cs="Times New Roman"/>
          <w:bCs/>
          <w:i/>
          <w:iCs/>
          <w:szCs w:val="24"/>
        </w:rPr>
        <w:t>O’Banion v. Borba</w:t>
      </w:r>
      <w:r w:rsidRPr="00020852">
        <w:rPr>
          <w:rFonts w:cs="Times New Roman"/>
          <w:bCs/>
          <w:szCs w:val="24"/>
        </w:rPr>
        <w:t xml:space="preserve"> (1948) 32 Cal.2d 145; </w:t>
      </w:r>
      <w:r w:rsidRPr="00020852">
        <w:rPr>
          <w:rFonts w:cs="Times New Roman"/>
          <w:bCs/>
          <w:i/>
          <w:iCs/>
          <w:szCs w:val="24"/>
        </w:rPr>
        <w:t>Walner v. City of Turlock</w:t>
      </w:r>
      <w:r w:rsidRPr="00020852">
        <w:rPr>
          <w:rFonts w:cs="Times New Roman"/>
          <w:bCs/>
          <w:szCs w:val="24"/>
        </w:rPr>
        <w:t xml:space="preserve"> (1964) 230 Cal.App.2d 399; </w:t>
      </w:r>
      <w:proofErr w:type="spellStart"/>
      <w:r w:rsidRPr="00020852">
        <w:rPr>
          <w:rFonts w:cs="Times New Roman"/>
          <w:bCs/>
          <w:i/>
          <w:iCs/>
          <w:szCs w:val="24"/>
        </w:rPr>
        <w:t>Brumagim</w:t>
      </w:r>
      <w:proofErr w:type="spellEnd"/>
      <w:r w:rsidRPr="00020852">
        <w:rPr>
          <w:rFonts w:cs="Times New Roman"/>
          <w:bCs/>
          <w:i/>
          <w:iCs/>
          <w:szCs w:val="24"/>
        </w:rPr>
        <w:t xml:space="preserve"> v. Bradshaw</w:t>
      </w:r>
      <w:r w:rsidRPr="00020852">
        <w:rPr>
          <w:rFonts w:cs="Times New Roman"/>
          <w:bCs/>
          <w:szCs w:val="24"/>
        </w:rPr>
        <w:t xml:space="preserve"> (1870) 39 Cal. 24), unless it can be said as a matter of law that the evidence upon that issue is palpably insufficient to support a verdict for plaintiff. (</w:t>
      </w:r>
      <w:r w:rsidRPr="00020852">
        <w:rPr>
          <w:rFonts w:cs="Times New Roman"/>
          <w:bCs/>
          <w:i/>
          <w:iCs/>
          <w:szCs w:val="24"/>
        </w:rPr>
        <w:t>O’Keefe v. South End Rowing Club</w:t>
      </w:r>
      <w:r w:rsidRPr="00020852">
        <w:rPr>
          <w:rFonts w:cs="Times New Roman"/>
          <w:bCs/>
          <w:szCs w:val="24"/>
        </w:rPr>
        <w:t xml:space="preserve"> (1966) 64 Cal.2d 729; [Citations]” (</w:t>
      </w:r>
      <w:r w:rsidRPr="00020852">
        <w:rPr>
          <w:rFonts w:cs="Times New Roman"/>
          <w:bCs/>
          <w:i/>
          <w:iCs/>
          <w:szCs w:val="24"/>
        </w:rPr>
        <w:t>Williams v. Goodwin</w:t>
      </w:r>
      <w:r w:rsidRPr="00020852">
        <w:rPr>
          <w:rFonts w:cs="Times New Roman"/>
          <w:bCs/>
          <w:szCs w:val="24"/>
        </w:rPr>
        <w:t xml:space="preserve"> (1974) 41 Cal.App.3d 496, 509.) </w:t>
      </w:r>
    </w:p>
    <w:p w14:paraId="6EF97425" w14:textId="64111958" w:rsidR="00745226" w:rsidRDefault="008C67F5" w:rsidP="008C67F5">
      <w:pPr>
        <w:spacing w:after="264"/>
        <w:ind w:left="1080" w:hanging="360"/>
        <w:rPr>
          <w:rFonts w:cs="Times New Roman"/>
          <w:bCs/>
          <w:szCs w:val="24"/>
        </w:rPr>
      </w:pPr>
      <w:r w:rsidRPr="00020852">
        <w:rPr>
          <w:rFonts w:cs="Times New Roman"/>
          <w:bCs/>
          <w:szCs w:val="24"/>
        </w:rPr>
        <w:t xml:space="preserve">—  Like nuisances, trespasses can be characterized by either permanent or continuing. The principles governing the permanent or continuing nature of a trespass or nuisance are the same, and the cases discuss the two causes of action without distinction (although the distinction has implications for the statute of limitations and remedies available). (See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The key to classifying a trespass as continuing or permanent is whether it is likely to be discontinued or abated at a later date. (</w:t>
      </w:r>
      <w:r w:rsidRPr="00020852">
        <w:rPr>
          <w:rFonts w:cs="Times New Roman"/>
          <w:bCs/>
          <w:i/>
          <w:iCs/>
          <w:szCs w:val="24"/>
        </w:rPr>
        <w:t>Id. at</w:t>
      </w:r>
      <w:r w:rsidRPr="00020852">
        <w:rPr>
          <w:rFonts w:cs="Times New Roman"/>
          <w:bCs/>
          <w:szCs w:val="24"/>
        </w:rPr>
        <w:t xml:space="preserve"> 592.)</w:t>
      </w:r>
    </w:p>
    <w:bookmarkStart w:id="41" w:name="_Hlk43278279"/>
    <w:bookmarkStart w:id="42" w:name="_Hlk43286613"/>
    <w:p w14:paraId="056C73A9"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E99228B" w14:textId="77777777" w:rsidR="00745226" w:rsidRDefault="008C67F5" w:rsidP="008C67F5">
      <w:pPr>
        <w:spacing w:after="264"/>
        <w:ind w:left="1080" w:hanging="360"/>
        <w:rPr>
          <w:rFonts w:cs="Times New Roman"/>
          <w:bCs/>
          <w:szCs w:val="24"/>
        </w:rPr>
      </w:pPr>
      <w:r w:rsidRPr="00020852">
        <w:rPr>
          <w:rFonts w:cs="Times New Roman"/>
          <w:bCs/>
          <w:szCs w:val="24"/>
        </w:rPr>
        <w:t xml:space="preserve">—  As is the case with nuisances, the remedies for </w:t>
      </w:r>
      <w:r w:rsidRPr="00020852">
        <w:rPr>
          <w:rFonts w:cs="Times New Roman"/>
          <w:bCs/>
          <w:i/>
          <w:iCs/>
          <w:szCs w:val="24"/>
        </w:rPr>
        <w:t>prior</w:t>
      </w:r>
      <w:r w:rsidRPr="00020852">
        <w:rPr>
          <w:rFonts w:cs="Times New Roman"/>
          <w:bCs/>
          <w:szCs w:val="24"/>
        </w:rPr>
        <w:t xml:space="preserve"> trespasses and an </w:t>
      </w:r>
      <w:r w:rsidRPr="00020852">
        <w:rPr>
          <w:rFonts w:cs="Times New Roman"/>
          <w:bCs/>
          <w:i/>
          <w:iCs/>
          <w:szCs w:val="24"/>
        </w:rPr>
        <w:t>ongoing</w:t>
      </w:r>
      <w:r w:rsidRPr="00020852">
        <w:rPr>
          <w:rFonts w:cs="Times New Roman"/>
          <w:bCs/>
          <w:szCs w:val="24"/>
        </w:rPr>
        <w:t xml:space="preserve"> trespasses are different.</w:t>
      </w:r>
    </w:p>
    <w:p w14:paraId="0903D6F8"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a </w:t>
      </w:r>
      <w:r w:rsidRPr="00020852">
        <w:rPr>
          <w:rFonts w:cs="Times New Roman"/>
          <w:bCs/>
          <w:i/>
          <w:iCs/>
          <w:szCs w:val="24"/>
        </w:rPr>
        <w:t>prior</w:t>
      </w:r>
      <w:r w:rsidRPr="00020852">
        <w:rPr>
          <w:rFonts w:cs="Times New Roman"/>
          <w:bCs/>
          <w:szCs w:val="24"/>
        </w:rPr>
        <w:t xml:space="preserve"> act of trespass, the measure of compensatory (money) damages includes the: (i) value of the property’s use during the time it was wrongfully occupied (not more than five years before filing suit); (ii) reasonable cost of repair or restoration of the property to its original condition; and (iii) costs of recovering possession. (Civ. Code, § 3334(a).) The value of a property’s use is the greater of its reasonable rental value or the benefits obtained by the person wrongfully occupying the land. (Civ. Code, § 3334(b);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153 Cal.App.4th at 604.) The “reasonable” component means that a plaintiff will recover the lesser of the cost of repairing the damage and restoring the property to its original condition, or the diminution in the value of the property. (</w:t>
      </w:r>
      <w:r w:rsidRPr="00020852">
        <w:rPr>
          <w:rFonts w:cs="Times New Roman"/>
          <w:bCs/>
          <w:i/>
          <w:iCs/>
          <w:szCs w:val="24"/>
        </w:rPr>
        <w:t>Id.</w:t>
      </w:r>
      <w:r w:rsidRPr="00020852">
        <w:rPr>
          <w:rFonts w:cs="Times New Roman"/>
          <w:bCs/>
          <w:szCs w:val="24"/>
        </w:rPr>
        <w:t xml:space="preserve"> at pp. 599-600.)</w:t>
      </w:r>
    </w:p>
    <w:p w14:paraId="7653FE9B" w14:textId="77777777" w:rsidR="00745226" w:rsidRDefault="008C67F5" w:rsidP="008C67F5">
      <w:pPr>
        <w:spacing w:after="264"/>
        <w:ind w:left="1710" w:hanging="360"/>
        <w:rPr>
          <w:rFonts w:cs="Times New Roman"/>
          <w:bCs/>
          <w:szCs w:val="24"/>
        </w:rPr>
      </w:pPr>
      <w:r w:rsidRPr="00020852">
        <w:rPr>
          <w:rFonts w:cs="Times New Roman"/>
          <w:bCs/>
          <w:szCs w:val="24"/>
        </w:rPr>
        <w:t>→  Damages for “annoyance and discomfort that would naturally ensue” from a trespass on a plaintiff’s land are also recoverable, and are intended to compensate plaintiff for the loss of peaceful enjoyment of the property.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273.) These damages are generally related to distress “arising out of physical discomfort, irritation, or inconvenience caused by odors, pests, noise, and the like.” (</w:t>
      </w:r>
      <w:r w:rsidRPr="00020852">
        <w:rPr>
          <w:rFonts w:cs="Times New Roman"/>
          <w:bCs/>
          <w:i/>
          <w:iCs/>
          <w:szCs w:val="24"/>
        </w:rPr>
        <w:t>Kelly v. CB &amp; I Constructors Inc.</w:t>
      </w:r>
      <w:r w:rsidRPr="00020852">
        <w:rPr>
          <w:rFonts w:cs="Times New Roman"/>
          <w:bCs/>
          <w:szCs w:val="24"/>
        </w:rPr>
        <w:t xml:space="preserve"> (2009) 179 Cal.App.4th 442, 456.)</w:t>
      </w:r>
    </w:p>
    <w:p w14:paraId="40FF9A22" w14:textId="77777777" w:rsidR="00745226" w:rsidRDefault="008C67F5" w:rsidP="008C67F5">
      <w:pPr>
        <w:spacing w:after="264"/>
        <w:ind w:left="1710" w:hanging="360"/>
        <w:rPr>
          <w:rFonts w:cs="Times New Roman"/>
          <w:bCs/>
          <w:szCs w:val="24"/>
        </w:rPr>
      </w:pPr>
      <w:r w:rsidRPr="00020852">
        <w:rPr>
          <w:rFonts w:cs="Times New Roman"/>
          <w:bCs/>
          <w:szCs w:val="24"/>
        </w:rPr>
        <w:t>→  A plaintiff may recover damages for emotional distress and mental anguish proximately caused by a trespass. (</w:t>
      </w:r>
      <w:r w:rsidRPr="00020852">
        <w:rPr>
          <w:rFonts w:cs="Times New Roman"/>
          <w:bCs/>
          <w:i/>
          <w:iCs/>
          <w:szCs w:val="24"/>
        </w:rPr>
        <w:t>Armitage v. Decker</w:t>
      </w:r>
      <w:r w:rsidRPr="00020852">
        <w:rPr>
          <w:rFonts w:cs="Times New Roman"/>
          <w:bCs/>
          <w:szCs w:val="24"/>
        </w:rPr>
        <w:t xml:space="preserve"> (1990) 218 Cal.App.3d 887, 905; </w:t>
      </w:r>
      <w:r w:rsidRPr="00020852">
        <w:rPr>
          <w:rFonts w:cs="Times New Roman"/>
          <w:bCs/>
          <w:i/>
          <w:iCs/>
          <w:szCs w:val="24"/>
        </w:rPr>
        <w:t>Hensley v. San Diego Gas &amp; Elec. Co.</w:t>
      </w:r>
      <w:r w:rsidRPr="00020852">
        <w:rPr>
          <w:rFonts w:cs="Times New Roman"/>
          <w:bCs/>
          <w:szCs w:val="24"/>
        </w:rPr>
        <w:t xml:space="preserve"> (2017) 7 Cal.App.5th 1337, 1348-1352.) Emotional distress without physical injury is also compensable. (</w:t>
      </w:r>
      <w:r w:rsidRPr="00020852">
        <w:rPr>
          <w:rFonts w:cs="Times New Roman"/>
          <w:bCs/>
          <w:i/>
          <w:iCs/>
          <w:szCs w:val="24"/>
        </w:rPr>
        <w:t>Potter v. Firestone Tire &amp; Rubber Co.</w:t>
      </w:r>
      <w:r w:rsidRPr="00020852">
        <w:rPr>
          <w:rFonts w:cs="Times New Roman"/>
          <w:bCs/>
          <w:szCs w:val="24"/>
        </w:rPr>
        <w:t xml:space="preserve"> (1993) 6 Cal.4th 965, 986, fn.10.)</w:t>
      </w:r>
    </w:p>
    <w:p w14:paraId="402E8338" w14:textId="77777777" w:rsidR="00745226" w:rsidRDefault="008C67F5" w:rsidP="008C67F5">
      <w:pPr>
        <w:spacing w:after="264"/>
        <w:ind w:left="1350" w:hanging="270"/>
        <w:rPr>
          <w:rFonts w:cs="Times New Roman"/>
          <w:bCs/>
          <w:szCs w:val="24"/>
        </w:rPr>
      </w:pPr>
      <w:r w:rsidRPr="00020852">
        <w:rPr>
          <w:rFonts w:cs="Times New Roman"/>
          <w:bCs/>
          <w:szCs w:val="24"/>
        </w:rPr>
        <w:t xml:space="preserve">•   With </w:t>
      </w:r>
      <w:r w:rsidRPr="00020852">
        <w:rPr>
          <w:rFonts w:cs="Times New Roman"/>
          <w:bCs/>
          <w:i/>
          <w:iCs/>
          <w:szCs w:val="24"/>
        </w:rPr>
        <w:t>continuing</w:t>
      </w:r>
      <w:r w:rsidRPr="00020852">
        <w:rPr>
          <w:rFonts w:cs="Times New Roman"/>
          <w:bCs/>
          <w:szCs w:val="24"/>
        </w:rPr>
        <w:t xml:space="preserve"> trespasses, compensatory damages calculations are different because a plaintiff may only recover damages for </w:t>
      </w:r>
      <w:r w:rsidRPr="00020852">
        <w:rPr>
          <w:rFonts w:cs="Times New Roman"/>
          <w:bCs/>
          <w:i/>
          <w:iCs/>
          <w:szCs w:val="24"/>
        </w:rPr>
        <w:t>present and past injury to the property</w:t>
      </w:r>
      <w:r w:rsidRPr="00020852">
        <w:rPr>
          <w:rFonts w:cs="Times New Roman"/>
          <w:bCs/>
          <w:szCs w:val="24"/>
        </w:rPr>
        <w:t xml:space="preserve">. No award may be made for </w:t>
      </w:r>
      <w:r w:rsidRPr="00020852">
        <w:rPr>
          <w:rFonts w:cs="Times New Roman"/>
          <w:bCs/>
          <w:i/>
          <w:iCs/>
          <w:szCs w:val="24"/>
        </w:rPr>
        <w:t>future or prospective harm</w:t>
      </w:r>
      <w:r w:rsidRPr="00020852">
        <w:rPr>
          <w:rFonts w:cs="Times New Roman"/>
          <w:bCs/>
          <w:szCs w:val="24"/>
        </w:rPr>
        <w:t xml:space="preserve"> because, as in the case of ongoing nuisances, a continuing trespass can be abated any time, ending the harm.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Only the “reasonable” cost of repairing or restoring the property to its original condition is recoverable. (Civ. Code, § 3334(a); see </w:t>
      </w:r>
      <w:r w:rsidRPr="00020852">
        <w:rPr>
          <w:rFonts w:cs="Times New Roman"/>
          <w:bCs/>
          <w:i/>
          <w:iCs/>
          <w:szCs w:val="24"/>
        </w:rPr>
        <w:t>Mangini v. Aerojet-General Corp.</w:t>
      </w:r>
      <w:r w:rsidRPr="00020852">
        <w:rPr>
          <w:rFonts w:cs="Times New Roman"/>
          <w:bCs/>
          <w:szCs w:val="24"/>
        </w:rPr>
        <w:t xml:space="preserve"> (1996) 12 Cal.4th 1087, 1103.) </w:t>
      </w:r>
    </w:p>
    <w:p w14:paraId="124691B9" w14:textId="77777777" w:rsidR="00745226" w:rsidRDefault="008C67F5" w:rsidP="008C67F5">
      <w:pPr>
        <w:spacing w:after="264"/>
        <w:ind w:left="1080" w:hanging="360"/>
        <w:rPr>
          <w:rFonts w:cs="Times New Roman"/>
          <w:bCs/>
          <w:szCs w:val="24"/>
        </w:rPr>
      </w:pPr>
      <w:r w:rsidRPr="00020852">
        <w:rPr>
          <w:rFonts w:cs="Times New Roman"/>
          <w:bCs/>
          <w:szCs w:val="24"/>
        </w:rPr>
        <w:t>—  A trespass can be abated by an injunction in certain situations. In cases of encroachment, plaintiff may obtain a mandatory injunction ordering defendant to remove the encroachment. (</w:t>
      </w:r>
      <w:r w:rsidRPr="00020852">
        <w:rPr>
          <w:rFonts w:cs="Times New Roman"/>
          <w:bCs/>
          <w:i/>
          <w:iCs/>
          <w:szCs w:val="24"/>
        </w:rPr>
        <w:t xml:space="preserve">Posey v. </w:t>
      </w:r>
      <w:r w:rsidRPr="00020852">
        <w:rPr>
          <w:rFonts w:cs="Times New Roman"/>
          <w:bCs/>
          <w:i/>
          <w:iCs/>
          <w:szCs w:val="24"/>
        </w:rPr>
        <w:lastRenderedPageBreak/>
        <w:t>Leavitt</w:t>
      </w:r>
      <w:r w:rsidRPr="00020852">
        <w:rPr>
          <w:rFonts w:cs="Times New Roman"/>
          <w:bCs/>
          <w:szCs w:val="24"/>
        </w:rPr>
        <w:t xml:space="preserve"> (1991) 229 Cal.App.3d 1236, 1251[condominium owner extended deck into common area and was ordered to remove it].)</w:t>
      </w:r>
    </w:p>
    <w:p w14:paraId="1A504061"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all forms of trespass, punitive damages may be awarded where plaintiff proves by clear and convincing evidence that defendant is guilty of oppression, fraud, or malice. (Civ. Code, § 3294(a); </w:t>
      </w:r>
      <w:proofErr w:type="spellStart"/>
      <w:r w:rsidRPr="00020852">
        <w:rPr>
          <w:rFonts w:cs="Times New Roman"/>
          <w:bCs/>
          <w:i/>
          <w:iCs/>
          <w:szCs w:val="24"/>
        </w:rPr>
        <w:t>Hassholdt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w:t>
      </w:r>
    </w:p>
    <w:p w14:paraId="27C423D1"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AD8FD1D"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2F49CD7"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limitations period for a trespass action is generally three years. (Code Civ. Proc., § 338(b).) When the claim accrues depends on whether the trespass is “permanent” or “continuing.” </w:t>
      </w:r>
    </w:p>
    <w:p w14:paraId="05E0FAA7"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permanent trespass</w:t>
      </w:r>
      <w:r w:rsidRPr="00020852">
        <w:rPr>
          <w:rFonts w:cs="Times New Roman"/>
          <w:bCs/>
          <w:szCs w:val="24"/>
        </w:rPr>
        <w:t>, a claim accrues when the trespass occurs. Plaintiff must bring a single action for past, present, and future damages within three years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w:t>
      </w:r>
    </w:p>
    <w:p w14:paraId="4F510553"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continuing trespass</w:t>
      </w:r>
      <w:r w:rsidRPr="00020852">
        <w:rPr>
          <w:rFonts w:cs="Times New Roman"/>
          <w:bCs/>
          <w:szCs w:val="24"/>
        </w:rPr>
        <w:t>, a new cause of action accrues each day the trespass continues, and a plaintiff must bring periodic successive actions if the trespass continues without abatement. (</w:t>
      </w:r>
      <w:r w:rsidRPr="00020852">
        <w:rPr>
          <w:rFonts w:cs="Times New Roman"/>
          <w:bCs/>
          <w:i/>
          <w:iCs/>
          <w:szCs w:val="24"/>
        </w:rPr>
        <w:t>Baker v. Burbank-Glendale-Pasadena Airport Auth.</w:t>
      </w:r>
      <w:r w:rsidRPr="00020852">
        <w:rPr>
          <w:rFonts w:cs="Times New Roman"/>
          <w:bCs/>
          <w:szCs w:val="24"/>
        </w:rPr>
        <w:t xml:space="preserve"> (1985) 39 Cal.3d 862, 869.)</w:t>
      </w:r>
    </w:p>
    <w:p w14:paraId="09B3CF5A" w14:textId="545072C8"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35BBBD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trespass</w:t>
      </w:r>
      <w:r w:rsidRPr="00020852">
        <w:rPr>
          <w:rFonts w:cs="Times New Roman"/>
          <w:bCs/>
          <w:szCs w:val="24"/>
          <w:highlight w:val="green"/>
        </w:rPr>
        <w:t>. If one or more provisions of the CC&amp;Rs is/are relevant, you should cite to that/those provision(s) here (no need to quote or provide a snip).</w:t>
      </w:r>
    </w:p>
    <w:p w14:paraId="0711C0E2"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4BBF3263"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7ED50A29" w14:textId="2AA2BB1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B5530F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5A9952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3BD27569" w14:textId="797D11F3" w:rsidR="002D579F" w:rsidRDefault="002D579F" w:rsidP="002D579F">
      <w:pPr>
        <w:spacing w:after="264"/>
        <w:ind w:left="1080" w:hanging="360"/>
        <w:rPr>
          <w:rStyle w:val="property1"/>
          <w:rFonts w:eastAsia="Times New Roman" w:cs="Times New Roman"/>
        </w:rPr>
      </w:pPr>
      <w:r w:rsidRPr="00020852">
        <w:rPr>
          <w:rFonts w:cs="Times New Roman"/>
          <w:bCs/>
          <w:szCs w:val="24"/>
        </w:rPr>
        <w:t xml:space="preserve">—  The </w:t>
      </w:r>
      <w:r>
        <w:rPr>
          <w:rFonts w:cs="Times New Roman"/>
          <w:bCs/>
          <w:szCs w:val="24"/>
        </w:rPr>
        <w:t xml:space="preserve">standards by which an HOA must review a homeowner’s architectural plans </w:t>
      </w:r>
      <w:r w:rsidRPr="00020852">
        <w:rPr>
          <w:rFonts w:cs="Times New Roman"/>
          <w:bCs/>
          <w:szCs w:val="24"/>
        </w:rPr>
        <w:t>discussed in the context of the “</w:t>
      </w:r>
      <w:r>
        <w:rPr>
          <w:rFonts w:cs="Times New Roman"/>
          <w:bCs/>
          <w:szCs w:val="24"/>
        </w:rPr>
        <w:t>Breach of CC&amp;Rs</w:t>
      </w:r>
      <w:r w:rsidRPr="00020852">
        <w:rPr>
          <w:rFonts w:cs="Times New Roman"/>
          <w:bCs/>
          <w:szCs w:val="24"/>
        </w:rPr>
        <w:t xml:space="preserve">” </w:t>
      </w:r>
      <w:r w:rsidR="00310BBA">
        <w:rPr>
          <w:rFonts w:cs="Times New Roman"/>
          <w:bCs/>
          <w:szCs w:val="24"/>
        </w:rPr>
        <w:t xml:space="preserve">and “Breach of Fiduciary Duty” </w:t>
      </w:r>
      <w:r w:rsidRPr="00020852">
        <w:rPr>
          <w:rFonts w:cs="Times New Roman"/>
          <w:bCs/>
          <w:szCs w:val="24"/>
        </w:rPr>
        <w:t>cause</w:t>
      </w:r>
      <w:r w:rsidR="00310BBA">
        <w:rPr>
          <w:rFonts w:cs="Times New Roman"/>
          <w:bCs/>
          <w:szCs w:val="24"/>
        </w:rPr>
        <w:t>s</w:t>
      </w:r>
      <w:r w:rsidRPr="00020852">
        <w:rPr>
          <w:rFonts w:cs="Times New Roman"/>
          <w:bCs/>
          <w:szCs w:val="24"/>
        </w:rPr>
        <w:t xml:space="preserve"> of action above is also applicable in the context of a </w:t>
      </w:r>
      <w:r w:rsidR="00310BBA">
        <w:rPr>
          <w:rFonts w:cs="Times New Roman"/>
          <w:bCs/>
          <w:szCs w:val="24"/>
        </w:rPr>
        <w:t xml:space="preserve">claim for declaratory relief. </w:t>
      </w:r>
      <w:r w:rsidRPr="00020852">
        <w:rPr>
          <w:rFonts w:cs="Times New Roman"/>
          <w:szCs w:val="24"/>
        </w:rPr>
        <w:t xml:space="preserve"> </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7C2D0CAB" w14:textId="5ACBC9F4" w:rsidR="000813C7" w:rsidRDefault="000813C7" w:rsidP="0049077D">
      <w:pPr>
        <w:pStyle w:val="Heading1"/>
        <w:spacing w:after="264"/>
      </w:pPr>
      <w:r w:rsidRPr="00D536E3">
        <w:fldChar w:fldCharType="begin"/>
      </w:r>
      <w:r>
        <w:instrText xml:space="preserve"> LISTNUM LegalDefault \l 1 </w:instrText>
      </w:r>
      <w:bookmarkStart w:id="143" w:name="_Toc130368762"/>
      <w:r w:rsidRPr="00D536E3">
        <w:fldChar w:fldCharType="end"/>
      </w:r>
      <w:r w:rsidR="000B75CA">
        <w:br/>
      </w:r>
      <w:r w:rsidR="00DD2768" w:rsidRPr="00A66858">
        <w:t>POTENTIAL AFFIRMATIVE DEFENSES</w:t>
      </w:r>
      <w:bookmarkEnd w:id="143"/>
    </w:p>
    <w:p w14:paraId="2CD49C4E" w14:textId="77777777" w:rsidR="00745226" w:rsidRDefault="000813C7" w:rsidP="000813C7">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4A19257A" w14:textId="77777777" w:rsidR="00745226" w:rsidRDefault="000813C7" w:rsidP="00EA2883">
      <w:pPr>
        <w:pStyle w:val="Heading2"/>
      </w:pPr>
      <w:r w:rsidRPr="00274E8F">
        <w:fldChar w:fldCharType="begin"/>
      </w:r>
      <w:r w:rsidRPr="00274E8F">
        <w:instrText xml:space="preserve"> LISTNUM LegalDefault \l 2 </w:instrText>
      </w:r>
      <w:bookmarkStart w:id="146" w:name="_Toc130368764"/>
      <w:r w:rsidRPr="00274E8F">
        <w:fldChar w:fldCharType="end"/>
      </w:r>
      <w:r w:rsidR="009B5213">
        <w:br/>
      </w:r>
      <w:r>
        <w:t>Statute of Limitations</w:t>
      </w:r>
      <w:bookmarkEnd w:id="146"/>
    </w:p>
    <w:p w14:paraId="5CB81EAD" w14:textId="58C95C3B" w:rsidR="000F0F17" w:rsidRDefault="000F0F17" w:rsidP="000813C7">
      <w:pPr>
        <w:spacing w:after="264"/>
        <w:rPr>
          <w:rFonts w:cs="Times New Roman"/>
          <w:bCs/>
          <w:szCs w:val="24"/>
        </w:rPr>
      </w:pPr>
      <w:r>
        <w:rPr>
          <w:rFonts w:cs="Times New Roman"/>
          <w:bCs/>
          <w:szCs w:val="24"/>
          <w:u w:val="single"/>
        </w:rPr>
        <w:t>Affirmative Defense</w:t>
      </w:r>
      <w:r>
        <w:rPr>
          <w:rFonts w:cs="Times New Roman"/>
          <w:bCs/>
          <w:szCs w:val="24"/>
        </w:rPr>
        <w:t>—Statute of Limitations</w:t>
      </w:r>
    </w:p>
    <w:p w14:paraId="6CDC64CE" w14:textId="145D5082" w:rsidR="00745226" w:rsidRDefault="000813C7" w:rsidP="000813C7">
      <w:pPr>
        <w:spacing w:after="264"/>
        <w:rPr>
          <w:rFonts w:cs="Times New Roman"/>
          <w:bCs/>
          <w:szCs w:val="24"/>
        </w:rPr>
      </w:pPr>
      <w:r>
        <w:rPr>
          <w:rFonts w:cs="Times New Roman"/>
          <w:bCs/>
          <w:szCs w:val="24"/>
        </w:rPr>
        <w:t xml:space="preserve">The applicability of a statute of limitations defense depends upon the nature of the claims alleged. </w:t>
      </w:r>
      <w:r w:rsidR="008C4959" w:rsidRPr="008C4959">
        <w:rPr>
          <w:rFonts w:cs="Times New Roman"/>
          <w:bCs/>
          <w:szCs w:val="24"/>
        </w:rPr>
        <w:t>Based upon the claims aimed at Client, the following seem relevant:</w:t>
      </w:r>
    </w:p>
    <w:p w14:paraId="728F1517" w14:textId="77777777" w:rsidR="00745226" w:rsidRDefault="000813C7" w:rsidP="00005966">
      <w:pPr>
        <w:spacing w:after="264"/>
        <w:ind w:left="1080" w:hanging="360"/>
        <w:rPr>
          <w:rFonts w:cs="Times New Roman"/>
          <w:bCs/>
          <w:szCs w:val="24"/>
        </w:rPr>
      </w:pPr>
      <w:r>
        <w:rPr>
          <w:rFonts w:cs="Times New Roman"/>
          <w:bCs/>
          <w:szCs w:val="24"/>
        </w:rPr>
        <w:t xml:space="preserve">—  </w:t>
      </w:r>
      <w:r w:rsidRPr="00FE539D">
        <w:rPr>
          <w:rFonts w:cs="Times New Roman"/>
          <w:bCs/>
          <w:szCs w:val="24"/>
        </w:rPr>
        <w:t xml:space="preserve">The statute of limitations to </w:t>
      </w:r>
      <w:r w:rsidRPr="00977649">
        <w:rPr>
          <w:rFonts w:cs="Times New Roman"/>
          <w:b/>
          <w:szCs w:val="24"/>
        </w:rPr>
        <w:t>enforce a restriction</w:t>
      </w:r>
      <w:r w:rsidRPr="00FE539D">
        <w:rPr>
          <w:rFonts w:cs="Times New Roman"/>
          <w:bCs/>
          <w:szCs w:val="24"/>
        </w:rPr>
        <w:t xml:space="preserve">, which includes </w:t>
      </w:r>
      <w:r>
        <w:rPr>
          <w:rFonts w:cs="Times New Roman"/>
          <w:bCs/>
          <w:szCs w:val="24"/>
        </w:rPr>
        <w:t>CC&amp;Rs</w:t>
      </w:r>
      <w:r w:rsidRPr="00FE539D">
        <w:rPr>
          <w:rFonts w:cs="Times New Roman"/>
          <w:bCs/>
          <w:szCs w:val="24"/>
        </w:rPr>
        <w:t>, is five years. (Code Civ. Proc.</w:t>
      </w:r>
      <w:r>
        <w:rPr>
          <w:rFonts w:cs="Times New Roman"/>
          <w:bCs/>
          <w:szCs w:val="24"/>
        </w:rPr>
        <w:t>,</w:t>
      </w:r>
      <w:r w:rsidRPr="00FE539D">
        <w:rPr>
          <w:rFonts w:cs="Times New Roman"/>
          <w:bCs/>
          <w:szCs w:val="24"/>
        </w:rPr>
        <w:t xml:space="preserve"> § 336(b).) </w:t>
      </w:r>
      <w:r>
        <w:rPr>
          <w:rFonts w:cs="Times New Roman"/>
          <w:bCs/>
          <w:szCs w:val="24"/>
        </w:rPr>
        <w:t>Consequently, a</w:t>
      </w:r>
      <w:r w:rsidRPr="00FE539D">
        <w:rPr>
          <w:rFonts w:cs="Times New Roman"/>
          <w:bCs/>
          <w:szCs w:val="24"/>
        </w:rPr>
        <w:t xml:space="preserve">n action for a violation of a restriction must be commenced within five years after the </w:t>
      </w:r>
      <w:r>
        <w:rPr>
          <w:rFonts w:cs="Times New Roman"/>
          <w:bCs/>
          <w:szCs w:val="24"/>
        </w:rPr>
        <w:t>party</w:t>
      </w:r>
      <w:r w:rsidRPr="00FE539D">
        <w:rPr>
          <w:rFonts w:cs="Times New Roman"/>
          <w:bCs/>
          <w:szCs w:val="24"/>
        </w:rPr>
        <w:t xml:space="preserve"> enforcing the restriction discovers, or through the exercise of reasonable diligence, should have discovered, the violation. </w:t>
      </w:r>
      <w:r>
        <w:rPr>
          <w:rFonts w:cs="Times New Roman"/>
          <w:bCs/>
          <w:szCs w:val="24"/>
        </w:rPr>
        <w:t>[</w:t>
      </w:r>
      <w:r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Pr>
          <w:rFonts w:cs="Times New Roman"/>
          <w:bCs/>
          <w:szCs w:val="24"/>
        </w:rPr>
        <w:t>]</w:t>
      </w:r>
      <w:r w:rsidRPr="00FE539D">
        <w:rPr>
          <w:rFonts w:cs="Times New Roman"/>
          <w:bCs/>
          <w:szCs w:val="24"/>
        </w:rPr>
        <w:t xml:space="preserve"> (Civ. Code</w:t>
      </w:r>
      <w:r>
        <w:rPr>
          <w:rFonts w:cs="Times New Roman"/>
          <w:bCs/>
          <w:szCs w:val="24"/>
        </w:rPr>
        <w:t>,</w:t>
      </w:r>
      <w:r w:rsidRPr="00FE539D">
        <w:rPr>
          <w:rFonts w:cs="Times New Roman"/>
          <w:bCs/>
          <w:szCs w:val="24"/>
        </w:rPr>
        <w:t xml:space="preserve"> § 784.)</w:t>
      </w:r>
    </w:p>
    <w:p w14:paraId="3FD9BBE3" w14:textId="3594C37C" w:rsidR="00745226" w:rsidRDefault="000813C7" w:rsidP="000813C7">
      <w:pPr>
        <w:spacing w:after="264"/>
        <w:ind w:left="1080" w:hanging="360"/>
        <w:rPr>
          <w:rFonts w:cs="Times New Roman"/>
          <w:bCs/>
          <w:szCs w:val="24"/>
        </w:rPr>
      </w:pPr>
      <w:r>
        <w:rPr>
          <w:rFonts w:cs="Times New Roman"/>
          <w:bCs/>
          <w:szCs w:val="24"/>
        </w:rPr>
        <w:t xml:space="preserve">—  For </w:t>
      </w:r>
      <w:r w:rsidRPr="00977649">
        <w:rPr>
          <w:rFonts w:cs="Times New Roman"/>
          <w:b/>
          <w:szCs w:val="24"/>
        </w:rPr>
        <w:t>breach of verbal contracts</w:t>
      </w:r>
      <w:r>
        <w:rPr>
          <w:rFonts w:cs="Times New Roman"/>
          <w:bCs/>
          <w:szCs w:val="24"/>
        </w:rPr>
        <w:t>, the statute of limitations is two years (Code Civ. Proc., § 339); f</w:t>
      </w:r>
      <w:r w:rsidRPr="00121BE4">
        <w:rPr>
          <w:rFonts w:cs="Times New Roman"/>
          <w:bCs/>
          <w:szCs w:val="24"/>
        </w:rPr>
        <w:t xml:space="preserve">or breach of most </w:t>
      </w:r>
      <w:r w:rsidRPr="00977649">
        <w:rPr>
          <w:rFonts w:cs="Times New Roman"/>
          <w:b/>
          <w:szCs w:val="24"/>
        </w:rPr>
        <w:t>written contracts</w:t>
      </w:r>
      <w:r w:rsidRPr="00121BE4">
        <w:rPr>
          <w:rFonts w:cs="Times New Roman"/>
          <w:bCs/>
          <w:szCs w:val="24"/>
        </w:rPr>
        <w:t>, the statute of limitations is four years (Code Civ. Proc., § 337)</w:t>
      </w:r>
      <w:r w:rsidR="003624C3">
        <w:rPr>
          <w:rFonts w:cs="Times New Roman"/>
          <w:bCs/>
          <w:szCs w:val="24"/>
        </w:rPr>
        <w:t>—the caveat being that the statute of limitations f</w:t>
      </w:r>
      <w:r>
        <w:rPr>
          <w:rFonts w:cs="Times New Roman"/>
          <w:bCs/>
          <w:szCs w:val="24"/>
        </w:rPr>
        <w:t xml:space="preserve">or </w:t>
      </w:r>
      <w:r w:rsidRPr="003249F0">
        <w:rPr>
          <w:rFonts w:cs="Times New Roman"/>
          <w:bCs/>
          <w:szCs w:val="24"/>
        </w:rPr>
        <w:t xml:space="preserve">breach of </w:t>
      </w:r>
      <w:r w:rsidRPr="00977649">
        <w:rPr>
          <w:rFonts w:cs="Times New Roman"/>
          <w:b/>
          <w:szCs w:val="24"/>
        </w:rPr>
        <w:t>negotiable instruments</w:t>
      </w:r>
      <w:r w:rsidR="003624C3">
        <w:rPr>
          <w:rFonts w:cs="Times New Roman"/>
          <w:bCs/>
          <w:szCs w:val="24"/>
        </w:rPr>
        <w:t xml:space="preserve">, like </w:t>
      </w:r>
      <w:r w:rsidRPr="003249F0">
        <w:rPr>
          <w:rFonts w:cs="Times New Roman"/>
          <w:bCs/>
          <w:szCs w:val="24"/>
        </w:rPr>
        <w:t>promissory notes</w:t>
      </w:r>
      <w:r w:rsidR="003624C3">
        <w:rPr>
          <w:rFonts w:cs="Times New Roman"/>
          <w:bCs/>
          <w:szCs w:val="24"/>
        </w:rPr>
        <w:t xml:space="preserve">, </w:t>
      </w:r>
      <w:r w:rsidRPr="003249F0">
        <w:rPr>
          <w:rFonts w:cs="Times New Roman"/>
          <w:bCs/>
          <w:szCs w:val="24"/>
        </w:rPr>
        <w:t>is six years</w:t>
      </w:r>
      <w:r>
        <w:rPr>
          <w:rFonts w:cs="Times New Roman"/>
          <w:bCs/>
          <w:szCs w:val="24"/>
        </w:rPr>
        <w:t xml:space="preserve"> </w:t>
      </w:r>
      <w:r w:rsidRPr="003249F0">
        <w:rPr>
          <w:rFonts w:cs="Times New Roman"/>
          <w:bCs/>
          <w:szCs w:val="24"/>
        </w:rPr>
        <w:t>(Comm. Code, § 3118)</w:t>
      </w:r>
      <w:r>
        <w:rPr>
          <w:rFonts w:cs="Times New Roman"/>
          <w:bCs/>
          <w:szCs w:val="24"/>
        </w:rPr>
        <w:t>.</w:t>
      </w:r>
    </w:p>
    <w:p w14:paraId="5380D8C0" w14:textId="6BA1BD34" w:rsidR="00745226" w:rsidRDefault="000813C7" w:rsidP="000813C7">
      <w:pPr>
        <w:spacing w:after="264"/>
        <w:ind w:left="1080" w:hanging="360"/>
        <w:rPr>
          <w:rFonts w:cs="Times New Roman"/>
          <w:bCs/>
          <w:szCs w:val="24"/>
        </w:rPr>
      </w:pPr>
      <w:r>
        <w:rPr>
          <w:rFonts w:cs="Times New Roman"/>
          <w:bCs/>
          <w:szCs w:val="24"/>
        </w:rPr>
        <w:t xml:space="preserve">—  </w:t>
      </w:r>
      <w:r w:rsidR="00CE3F29">
        <w:rPr>
          <w:rFonts w:cs="Times New Roman"/>
          <w:bCs/>
          <w:szCs w:val="24"/>
        </w:rPr>
        <w:t xml:space="preserve">For claims involving </w:t>
      </w:r>
      <w:r w:rsidRPr="00DD5197">
        <w:rPr>
          <w:rFonts w:cs="Times New Roman"/>
          <w:b/>
          <w:szCs w:val="24"/>
        </w:rPr>
        <w:t>breach of the implied covenant of good faith and fair dealing</w:t>
      </w:r>
      <w:r w:rsidR="00CE3F29">
        <w:rPr>
          <w:rFonts w:cs="Times New Roman"/>
          <w:bCs/>
          <w:szCs w:val="24"/>
        </w:rPr>
        <w:t xml:space="preserve">, the statutes of limitations are </w:t>
      </w:r>
      <w:r>
        <w:rPr>
          <w:rFonts w:cs="Times New Roman"/>
          <w:bCs/>
          <w:szCs w:val="24"/>
        </w:rPr>
        <w:t xml:space="preserve">the same as </w:t>
      </w:r>
      <w:r w:rsidR="00CE3F29">
        <w:rPr>
          <w:rFonts w:cs="Times New Roman"/>
          <w:bCs/>
          <w:szCs w:val="24"/>
        </w:rPr>
        <w:t xml:space="preserve">they are for </w:t>
      </w:r>
      <w:r>
        <w:rPr>
          <w:rFonts w:cs="Times New Roman"/>
          <w:bCs/>
          <w:szCs w:val="24"/>
        </w:rPr>
        <w:t>breach of contract.</w:t>
      </w:r>
    </w:p>
    <w:p w14:paraId="247632CA" w14:textId="77777777"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977649">
        <w:rPr>
          <w:rFonts w:cs="Times New Roman"/>
          <w:b/>
          <w:szCs w:val="24"/>
        </w:rPr>
        <w:t>Breach of unrecorded governing documents</w:t>
      </w:r>
      <w:r w:rsidRPr="004D1603">
        <w:rPr>
          <w:rFonts w:cs="Times New Roman"/>
          <w:bCs/>
          <w:szCs w:val="24"/>
        </w:rPr>
        <w:t xml:space="preserve"> (e.g., architectural guidelines, rules, etc.) fall within the same five year statute of limitations that breach of the CC&amp;Rs does. (</w:t>
      </w:r>
      <w:r w:rsidRPr="00977649">
        <w:rPr>
          <w:rFonts w:cs="Times New Roman"/>
          <w:bCs/>
          <w:i/>
          <w:iCs/>
          <w:szCs w:val="24"/>
        </w:rPr>
        <w:t xml:space="preserve">Pacific Hills Homeowners </w:t>
      </w:r>
      <w:proofErr w:type="spellStart"/>
      <w:r w:rsidRPr="00977649">
        <w:rPr>
          <w:rFonts w:cs="Times New Roman"/>
          <w:bCs/>
          <w:i/>
          <w:iCs/>
          <w:szCs w:val="24"/>
        </w:rPr>
        <w:t>Ass’n</w:t>
      </w:r>
      <w:proofErr w:type="spellEnd"/>
      <w:r w:rsidRPr="00977649">
        <w:rPr>
          <w:rFonts w:cs="Times New Roman"/>
          <w:bCs/>
          <w:i/>
          <w:iCs/>
          <w:szCs w:val="24"/>
        </w:rPr>
        <w:t xml:space="preserve"> v. Prun</w:t>
      </w:r>
      <w:r w:rsidRPr="004D1603">
        <w:rPr>
          <w:rFonts w:cs="Times New Roman"/>
          <w:bCs/>
          <w:szCs w:val="24"/>
        </w:rPr>
        <w:t xml:space="preserve"> (2008) 160 Cal. App. 4th 1557, 1563.)</w:t>
      </w:r>
    </w:p>
    <w:p w14:paraId="122E6B51" w14:textId="0AE76B17"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69A8BDD" w14:textId="40722AF6"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1A83884" w14:textId="77777777" w:rsidR="00745226" w:rsidRDefault="000813C7" w:rsidP="00EA2883">
      <w:pPr>
        <w:pStyle w:val="Heading2"/>
      </w:pPr>
      <w:r w:rsidRPr="00274E8F">
        <w:fldChar w:fldCharType="begin"/>
      </w:r>
      <w:r w:rsidRPr="00274E8F">
        <w:instrText xml:space="preserve"> LISTNUM LegalDefault \l 2 </w:instrText>
      </w:r>
      <w:bookmarkStart w:id="147" w:name="_Toc130368765"/>
      <w:r w:rsidRPr="00274E8F">
        <w:fldChar w:fldCharType="end"/>
      </w:r>
      <w:r w:rsidR="009B5213">
        <w:br/>
      </w:r>
      <w:r>
        <w:t>Equitable Estoppel</w:t>
      </w:r>
      <w:bookmarkEnd w:id="147"/>
    </w:p>
    <w:p w14:paraId="2BDA429D" w14:textId="7C380DBD"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—Equitable Estoppel</w:t>
      </w:r>
    </w:p>
    <w:p w14:paraId="5577257C" w14:textId="522335F8" w:rsidR="00745226" w:rsidRDefault="000813C7" w:rsidP="000813C7">
      <w:pPr>
        <w:spacing w:after="264"/>
        <w:ind w:left="1080" w:hanging="360"/>
        <w:rPr>
          <w:rFonts w:cs="Times New Roman"/>
          <w:bCs/>
          <w:szCs w:val="24"/>
        </w:rPr>
      </w:pPr>
      <w:r>
        <w:rPr>
          <w:rFonts w:cs="Times New Roman"/>
          <w:bCs/>
          <w:szCs w:val="24"/>
        </w:rPr>
        <w:t xml:space="preserve">—  </w:t>
      </w:r>
      <w:r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Pr>
          <w:rFonts w:cs="Times New Roman"/>
          <w:bCs/>
          <w:szCs w:val="24"/>
        </w:rPr>
        <w:t xml:space="preserve">or her </w:t>
      </w:r>
      <w:r w:rsidRPr="00207181">
        <w:rPr>
          <w:rFonts w:cs="Times New Roman"/>
          <w:bCs/>
          <w:szCs w:val="24"/>
        </w:rPr>
        <w:t>prior statement or conduct. (</w:t>
      </w:r>
      <w:r w:rsidRPr="00207181">
        <w:rPr>
          <w:rFonts w:cs="Times New Roman"/>
          <w:bCs/>
          <w:i/>
          <w:iCs/>
          <w:szCs w:val="24"/>
        </w:rPr>
        <w:t>Moncada v. West Coast Quartz Corp.</w:t>
      </w:r>
      <w:r w:rsidRPr="00207181">
        <w:rPr>
          <w:rFonts w:cs="Times New Roman"/>
          <w:bCs/>
          <w:szCs w:val="24"/>
        </w:rPr>
        <w:t xml:space="preserve"> (2013) 221 Cal.App.4th 768, 782.)</w:t>
      </w:r>
    </w:p>
    <w:p w14:paraId="4D3AC895" w14:textId="1717301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71D50CFC" w14:textId="12A8FDD2"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1D382BD" w14:textId="77777777" w:rsidR="00745226" w:rsidRDefault="000813C7" w:rsidP="00EA2883">
      <w:pPr>
        <w:pStyle w:val="Heading2"/>
      </w:pPr>
      <w:r w:rsidRPr="00274E8F">
        <w:fldChar w:fldCharType="begin"/>
      </w:r>
      <w:r w:rsidRPr="00274E8F">
        <w:instrText xml:space="preserve"> LISTNUM LegalDefault \l 2 </w:instrText>
      </w:r>
      <w:bookmarkStart w:id="148" w:name="_Toc130368766"/>
      <w:r w:rsidRPr="00274E8F">
        <w:fldChar w:fldCharType="end"/>
      </w:r>
      <w:r w:rsidR="009B5213">
        <w:br/>
      </w:r>
      <w:r>
        <w:t>Unclean Hands</w:t>
      </w:r>
      <w:bookmarkEnd w:id="148"/>
    </w:p>
    <w:p w14:paraId="7405EBC7" w14:textId="666D5FBF"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—Unclean Hands</w:t>
      </w:r>
    </w:p>
    <w:p w14:paraId="480740ED" w14:textId="2A896574"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207181">
        <w:rPr>
          <w:rFonts w:cs="Times New Roman"/>
          <w:bCs/>
          <w:szCs w:val="24"/>
        </w:rPr>
        <w:t xml:space="preserve">If the plaintiff’s </w:t>
      </w:r>
      <w:r>
        <w:rPr>
          <w:rFonts w:cs="Times New Roman"/>
          <w:bCs/>
          <w:szCs w:val="24"/>
        </w:rPr>
        <w:t xml:space="preserve">bad </w:t>
      </w:r>
      <w:r w:rsidRPr="00207181">
        <w:rPr>
          <w:rFonts w:cs="Times New Roman"/>
          <w:bCs/>
          <w:szCs w:val="24"/>
        </w:rPr>
        <w:t>conduct or bad faith causes</w:t>
      </w:r>
      <w:r>
        <w:rPr>
          <w:rFonts w:cs="Times New Roman"/>
          <w:bCs/>
          <w:szCs w:val="24"/>
        </w:rPr>
        <w:t>/is related to</w:t>
      </w:r>
      <w:r w:rsidRPr="00207181">
        <w:rPr>
          <w:rFonts w:cs="Times New Roman"/>
          <w:bCs/>
          <w:szCs w:val="24"/>
        </w:rPr>
        <w:t xml:space="preserve"> </w:t>
      </w:r>
      <w:r>
        <w:rPr>
          <w:rFonts w:cs="Times New Roman"/>
          <w:bCs/>
          <w:szCs w:val="24"/>
        </w:rPr>
        <w:t>his or her own</w:t>
      </w:r>
      <w:r w:rsidRPr="00207181">
        <w:rPr>
          <w:rFonts w:cs="Times New Roman"/>
          <w:bCs/>
          <w:szCs w:val="24"/>
        </w:rPr>
        <w:t xml:space="preserve"> underlying harm</w:t>
      </w:r>
      <w:r>
        <w:rPr>
          <w:rFonts w:cs="Times New Roman"/>
          <w:bCs/>
          <w:szCs w:val="24"/>
        </w:rPr>
        <w:t>, then that</w:t>
      </w:r>
      <w:r w:rsidRPr="00207181">
        <w:rPr>
          <w:rFonts w:cs="Times New Roman"/>
          <w:bCs/>
          <w:szCs w:val="24"/>
        </w:rPr>
        <w:t xml:space="preserve"> plaintiff is barred from obtaining equitable relief</w:t>
      </w:r>
      <w:r>
        <w:rPr>
          <w:rFonts w:cs="Times New Roman"/>
          <w:bCs/>
          <w:szCs w:val="24"/>
        </w:rPr>
        <w:t>—</w:t>
      </w:r>
      <w:r w:rsidRPr="00207181">
        <w:rPr>
          <w:rFonts w:cs="Times New Roman"/>
          <w:bCs/>
          <w:szCs w:val="24"/>
        </w:rPr>
        <w:t>i.e., a plaintiff cannot take advantage of his or her own wrong. (Civ. Code</w:t>
      </w:r>
      <w:r>
        <w:rPr>
          <w:rFonts w:cs="Times New Roman"/>
          <w:bCs/>
          <w:szCs w:val="24"/>
        </w:rPr>
        <w:t>,</w:t>
      </w:r>
      <w:r w:rsidRPr="00207181">
        <w:rPr>
          <w:rFonts w:cs="Times New Roman"/>
          <w:bCs/>
          <w:szCs w:val="24"/>
        </w:rPr>
        <w:t xml:space="preserve"> § 3517; </w:t>
      </w:r>
      <w:r w:rsidRPr="00207181">
        <w:rPr>
          <w:rFonts w:cs="Times New Roman"/>
          <w:bCs/>
          <w:i/>
          <w:iCs/>
          <w:szCs w:val="24"/>
        </w:rPr>
        <w:t xml:space="preserve">Lynn v. </w:t>
      </w:r>
      <w:proofErr w:type="spellStart"/>
      <w:r w:rsidRPr="00207181">
        <w:rPr>
          <w:rFonts w:cs="Times New Roman"/>
          <w:bCs/>
          <w:i/>
          <w:iCs/>
          <w:szCs w:val="24"/>
        </w:rPr>
        <w:t>Duckel</w:t>
      </w:r>
      <w:proofErr w:type="spellEnd"/>
      <w:r w:rsidRPr="00207181">
        <w:rPr>
          <w:rFonts w:cs="Times New Roman"/>
          <w:bCs/>
          <w:szCs w:val="24"/>
        </w:rPr>
        <w:t xml:space="preserve"> (1956) 46 </w:t>
      </w:r>
      <w:proofErr w:type="spellStart"/>
      <w:r w:rsidRPr="00207181">
        <w:rPr>
          <w:rFonts w:cs="Times New Roman"/>
          <w:bCs/>
          <w:szCs w:val="24"/>
        </w:rPr>
        <w:t>Cal.2d</w:t>
      </w:r>
      <w:proofErr w:type="spellEnd"/>
      <w:r w:rsidRPr="00207181">
        <w:rPr>
          <w:rFonts w:cs="Times New Roman"/>
          <w:bCs/>
          <w:szCs w:val="24"/>
        </w:rPr>
        <w:t xml:space="preserve"> 845, 850.)</w:t>
      </w:r>
    </w:p>
    <w:p w14:paraId="4F00CEB3" w14:textId="519D7F56"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D83F412" w14:textId="37BB9619"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0C181A6" w14:textId="77777777" w:rsidR="00745226" w:rsidRDefault="000813C7" w:rsidP="00EA2883">
      <w:pPr>
        <w:pStyle w:val="Heading2"/>
      </w:pPr>
      <w:r w:rsidRPr="00274E8F">
        <w:fldChar w:fldCharType="begin"/>
      </w:r>
      <w:r w:rsidRPr="00274E8F">
        <w:instrText xml:space="preserve"> LISTNUM LegalDefault \l 2 </w:instrText>
      </w:r>
      <w:bookmarkStart w:id="149" w:name="_Toc130368767"/>
      <w:r w:rsidRPr="00274E8F">
        <w:fldChar w:fldCharType="end"/>
      </w:r>
      <w:r w:rsidR="009B5213">
        <w:br/>
      </w:r>
      <w:r>
        <w:t>Laches</w:t>
      </w:r>
      <w:bookmarkEnd w:id="149"/>
    </w:p>
    <w:p w14:paraId="47FFB5B3" w14:textId="0E64C8C7"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—Laches</w:t>
      </w:r>
    </w:p>
    <w:p w14:paraId="3DD46595" w14:textId="25CD1733" w:rsidR="00745226" w:rsidRDefault="000813C7" w:rsidP="000813C7">
      <w:pPr>
        <w:spacing w:after="264"/>
        <w:ind w:left="1080" w:hanging="360"/>
        <w:rPr>
          <w:rFonts w:cs="Times New Roman"/>
          <w:szCs w:val="24"/>
        </w:rPr>
      </w:pPr>
      <w:r>
        <w:rPr>
          <w:rFonts w:cs="Times New Roman"/>
          <w:bCs/>
          <w:szCs w:val="24"/>
        </w:rPr>
        <w:t xml:space="preserve">—  </w:t>
      </w:r>
      <w:bookmarkStart w:id="150" w:name="_Hlk41464912"/>
      <w:r w:rsidRPr="003E0800">
        <w:rPr>
          <w:rFonts w:cs="Times New Roman"/>
          <w:bCs/>
          <w:szCs w:val="24"/>
        </w:rPr>
        <w:t>A plaintiff’s claim is barred under the doctrine of laches if</w:t>
      </w:r>
      <w:r>
        <w:rPr>
          <w:rFonts w:cs="Times New Roman"/>
          <w:bCs/>
          <w:szCs w:val="24"/>
        </w:rPr>
        <w:t>:</w:t>
      </w:r>
      <w:r w:rsidRPr="003E0800">
        <w:rPr>
          <w:rFonts w:cs="Times New Roman"/>
          <w:bCs/>
          <w:szCs w:val="24"/>
        </w:rPr>
        <w:t xml:space="preserve"> (i) the plaintiff delayed in brin</w:t>
      </w:r>
      <w:r>
        <w:rPr>
          <w:rFonts w:cs="Times New Roman"/>
          <w:bCs/>
          <w:szCs w:val="24"/>
        </w:rPr>
        <w:t>g</w:t>
      </w:r>
      <w:r w:rsidRPr="003E0800">
        <w:rPr>
          <w:rFonts w:cs="Times New Roman"/>
          <w:bCs/>
          <w:szCs w:val="24"/>
        </w:rPr>
        <w:t>ing his or her claim</w:t>
      </w:r>
      <w:r>
        <w:rPr>
          <w:rFonts w:cs="Times New Roman"/>
          <w:bCs/>
          <w:szCs w:val="24"/>
        </w:rPr>
        <w:t xml:space="preserve">; </w:t>
      </w:r>
      <w:r w:rsidRPr="003E0800">
        <w:rPr>
          <w:rFonts w:cs="Times New Roman"/>
          <w:bCs/>
          <w:szCs w:val="24"/>
        </w:rPr>
        <w:t>(ii) the delay was unreasonable or inexcusable</w:t>
      </w:r>
      <w:r>
        <w:rPr>
          <w:rFonts w:cs="Times New Roman"/>
          <w:bCs/>
          <w:szCs w:val="24"/>
        </w:rPr>
        <w:t xml:space="preserve">; and </w:t>
      </w:r>
      <w:r w:rsidRPr="003E0800">
        <w:rPr>
          <w:rFonts w:cs="Times New Roman"/>
          <w:bCs/>
          <w:szCs w:val="24"/>
        </w:rPr>
        <w:t>(iii) the defendant is prejudiced because of the delay.</w:t>
      </w:r>
      <w:bookmarkEnd w:id="150"/>
      <w:r>
        <w:rPr>
          <w:rFonts w:cs="Times New Roman"/>
          <w:bCs/>
          <w:szCs w:val="24"/>
        </w:rPr>
        <w:t xml:space="preserve"> (</w:t>
      </w:r>
      <w:r>
        <w:rPr>
          <w:rFonts w:cs="Times New Roman"/>
          <w:i/>
          <w:iCs/>
          <w:szCs w:val="24"/>
        </w:rPr>
        <w:t>In re Marriage of Parker</w:t>
      </w:r>
      <w:r>
        <w:rPr>
          <w:rFonts w:cs="Times New Roman"/>
          <w:szCs w:val="24"/>
        </w:rPr>
        <w:t xml:space="preserve"> (2017) 14 Cal.App.5th 681, 688.)</w:t>
      </w:r>
    </w:p>
    <w:p w14:paraId="62E0A9FA" w14:textId="628FCF8A"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AB0637C" w14:textId="0D7B53B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4838F89" w14:textId="77777777" w:rsidR="00745226" w:rsidRDefault="00636FD9" w:rsidP="00EA2883">
      <w:pPr>
        <w:pStyle w:val="Heading2"/>
      </w:pPr>
      <w:r w:rsidRPr="00274E8F">
        <w:fldChar w:fldCharType="begin"/>
      </w:r>
      <w:r w:rsidRPr="00274E8F">
        <w:instrText xml:space="preserve"> LISTNUM LegalDefault \l 2 </w:instrText>
      </w:r>
      <w:bookmarkStart w:id="172" w:name="_Toc130368788"/>
      <w:r w:rsidRPr="00274E8F">
        <w:fldChar w:fldCharType="end"/>
      </w:r>
      <w:r w:rsidR="009B5213">
        <w:br/>
      </w:r>
      <w:r>
        <w:t>Waiver</w:t>
      </w:r>
      <w:bookmarkEnd w:id="172"/>
    </w:p>
    <w:p w14:paraId="110F5D07" w14:textId="6D040596"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w:t>
      </w:r>
      <w:r w:rsidR="006F3F42">
        <w:rPr>
          <w:rFonts w:cs="Times New Roman"/>
          <w:bCs/>
          <w:szCs w:val="24"/>
        </w:rPr>
        <w:t>Waiver</w:t>
      </w:r>
    </w:p>
    <w:p w14:paraId="54EDD459" w14:textId="34252BD5" w:rsidR="00745226" w:rsidRDefault="00636FD9" w:rsidP="00636FD9">
      <w:pPr>
        <w:spacing w:after="264"/>
        <w:ind w:left="1080" w:hanging="360"/>
        <w:rPr>
          <w:rFonts w:cs="Times New Roman"/>
          <w:bCs/>
          <w:szCs w:val="24"/>
        </w:rPr>
      </w:pPr>
      <w:r>
        <w:rPr>
          <w:rFonts w:cs="Times New Roman"/>
          <w:bCs/>
          <w:szCs w:val="24"/>
        </w:rPr>
        <w:t>—  As an affirmative defense, waiver is a type of estoppel. It prevents a plaintiff from relying on a right (typically contractual) that the plaintiff would otherwise have no problem being able to enforce. Often, such a waiver exists because the plaintiff did or said something that made the defendant believe that the provision in question was no longer in effect, and defendant relied upon that action/statement. (</w:t>
      </w:r>
      <w:r>
        <w:rPr>
          <w:rFonts w:cs="Times New Roman"/>
          <w:bCs/>
          <w:i/>
          <w:iCs/>
          <w:szCs w:val="24"/>
        </w:rPr>
        <w:t>Wind Dancer Production Group v. Walt Disney Pictures</w:t>
      </w:r>
      <w:r>
        <w:rPr>
          <w:rFonts w:cs="Times New Roman"/>
          <w:bCs/>
          <w:szCs w:val="24"/>
        </w:rPr>
        <w:t xml:space="preserve"> (2017) 10 Cal.App.5th 56, 78.) </w:t>
      </w:r>
    </w:p>
    <w:p w14:paraId="4672139B" w14:textId="7C9CCE4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6563723" w14:textId="27A59169"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9B4F008" w14:textId="77777777" w:rsidR="00745226" w:rsidRDefault="00636FD9" w:rsidP="00EA2883">
      <w:pPr>
        <w:pStyle w:val="Heading2"/>
      </w:pPr>
      <w:r w:rsidRPr="00274E8F">
        <w:fldChar w:fldCharType="begin"/>
      </w:r>
      <w:r w:rsidRPr="00274E8F">
        <w:instrText xml:space="preserve"> LISTNUM LegalDefault \l 2 </w:instrText>
      </w:r>
      <w:bookmarkStart w:id="173" w:name="_Toc130368789"/>
      <w:r w:rsidRPr="00274E8F">
        <w:fldChar w:fldCharType="end"/>
      </w:r>
      <w:r w:rsidR="002970B7">
        <w:br/>
      </w:r>
      <w:r>
        <w:t>Failure to Mitigate</w:t>
      </w:r>
      <w:bookmarkEnd w:id="173"/>
    </w:p>
    <w:p w14:paraId="2E3E5D9E" w14:textId="5894977D"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Mitigate</w:t>
      </w:r>
    </w:p>
    <w:p w14:paraId="3B576599" w14:textId="69063579" w:rsidR="00745226" w:rsidRDefault="00636FD9" w:rsidP="00636FD9">
      <w:pPr>
        <w:spacing w:after="264"/>
        <w:ind w:left="1080" w:hanging="360"/>
        <w:rPr>
          <w:rFonts w:cs="Times New Roman"/>
          <w:bCs/>
          <w:szCs w:val="24"/>
        </w:rPr>
      </w:pPr>
      <w:r>
        <w:rPr>
          <w:rFonts w:cs="Times New Roman"/>
          <w:bCs/>
          <w:szCs w:val="24"/>
        </w:rPr>
        <w:lastRenderedPageBreak/>
        <w:t xml:space="preserve">—  </w:t>
      </w:r>
      <w:r w:rsidRPr="007F5801">
        <w:rPr>
          <w:rFonts w:cs="Times New Roman"/>
          <w:bCs/>
          <w:szCs w:val="24"/>
        </w:rPr>
        <w:t xml:space="preserve">A plaintiff has a duty to take steps to mitigate damages and is </w:t>
      </w:r>
      <w:r>
        <w:rPr>
          <w:rFonts w:cs="Times New Roman"/>
          <w:bCs/>
          <w:szCs w:val="24"/>
        </w:rPr>
        <w:t xml:space="preserve">therefore </w:t>
      </w:r>
      <w:r w:rsidRPr="007F5801">
        <w:rPr>
          <w:rFonts w:cs="Times New Roman"/>
          <w:bCs/>
          <w:szCs w:val="24"/>
        </w:rPr>
        <w:t xml:space="preserve">not entitled to damages that could have been avoided had </w:t>
      </w:r>
      <w:r>
        <w:rPr>
          <w:rFonts w:cs="Times New Roman"/>
          <w:bCs/>
          <w:szCs w:val="24"/>
        </w:rPr>
        <w:t xml:space="preserve">the plaintiff taken those steps. </w:t>
      </w:r>
      <w:r w:rsidRPr="007F5801">
        <w:rPr>
          <w:rFonts w:cs="Times New Roman"/>
          <w:bCs/>
          <w:szCs w:val="24"/>
        </w:rPr>
        <w:t>(</w:t>
      </w:r>
      <w:r w:rsidRPr="007F5801">
        <w:rPr>
          <w:rFonts w:cs="Times New Roman"/>
          <w:bCs/>
          <w:i/>
          <w:iCs/>
          <w:szCs w:val="24"/>
        </w:rPr>
        <w:t>Agam v. Gavra</w:t>
      </w:r>
      <w:r w:rsidRPr="007F5801">
        <w:rPr>
          <w:rFonts w:cs="Times New Roman"/>
          <w:bCs/>
          <w:szCs w:val="24"/>
        </w:rPr>
        <w:t xml:space="preserve"> (2015) 236 Cal.App.4th 91, 111</w:t>
      </w:r>
      <w:r>
        <w:rPr>
          <w:rFonts w:cs="Times New Roman"/>
          <w:bCs/>
          <w:szCs w:val="24"/>
        </w:rPr>
        <w:t>.</w:t>
      </w:r>
      <w:r w:rsidRPr="007F5801">
        <w:rPr>
          <w:rFonts w:cs="Times New Roman"/>
          <w:bCs/>
          <w:szCs w:val="24"/>
        </w:rPr>
        <w:t>)</w:t>
      </w:r>
    </w:p>
    <w:p w14:paraId="3CA51220" w14:textId="45201B80"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788BDE2B" w14:textId="3A26E41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EED80B4" w14:textId="77777777" w:rsidR="00745226" w:rsidRDefault="00636FD9" w:rsidP="00EA2883">
      <w:pPr>
        <w:pStyle w:val="Heading2"/>
      </w:pPr>
      <w:r w:rsidRPr="00274E8F">
        <w:fldChar w:fldCharType="begin"/>
      </w:r>
      <w:r w:rsidRPr="00274E8F">
        <w:instrText xml:space="preserve"> LISTNUM LegalDefault \l 2 </w:instrText>
      </w:r>
      <w:bookmarkStart w:id="174" w:name="_Toc130368790"/>
      <w:r w:rsidRPr="00274E8F">
        <w:fldChar w:fldCharType="end"/>
      </w:r>
      <w:r w:rsidR="002970B7">
        <w:br/>
      </w:r>
      <w:r>
        <w:t>Lack of Damages</w:t>
      </w:r>
      <w:bookmarkEnd w:id="174"/>
    </w:p>
    <w:p w14:paraId="1006AB16" w14:textId="71A4114C" w:rsidR="00A67294" w:rsidRDefault="00A67294" w:rsidP="00A67294">
      <w:pPr>
        <w:spacing w:after="264"/>
        <w:rPr>
          <w:rFonts w:cs="Times New Roman"/>
          <w:bCs/>
          <w:szCs w:val="24"/>
        </w:rPr>
      </w:pPr>
      <w:r>
        <w:rPr>
          <w:rFonts w:cs="Times New Roman"/>
          <w:bCs/>
          <w:szCs w:val="24"/>
          <w:u w:val="single"/>
        </w:rPr>
        <w:t>Affirmative Defense</w:t>
      </w:r>
      <w:r>
        <w:rPr>
          <w:rFonts w:cs="Times New Roman"/>
          <w:bCs/>
          <w:szCs w:val="24"/>
        </w:rPr>
        <w:t>—Lack of Damages</w:t>
      </w:r>
    </w:p>
    <w:p w14:paraId="34CFADF7" w14:textId="57847844" w:rsidR="00745226" w:rsidRDefault="00636FD9" w:rsidP="00636FD9">
      <w:pPr>
        <w:spacing w:after="264"/>
        <w:ind w:left="1080" w:hanging="360"/>
        <w:rPr>
          <w:rFonts w:cs="Times New Roman"/>
          <w:bCs/>
          <w:szCs w:val="24"/>
        </w:rPr>
      </w:pPr>
      <w:r>
        <w:rPr>
          <w:rFonts w:cs="Times New Roman"/>
          <w:bCs/>
          <w:szCs w:val="24"/>
        </w:rPr>
        <w:t>—  Damages is a necessary element in most causes of action. Consequently, if the plaintiff hasn’t been damaged, it’s almost certain that the plaintiff cannot prevail.</w:t>
      </w:r>
    </w:p>
    <w:p w14:paraId="3DB3A949" w14:textId="5636549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41A55EE" w14:textId="78334796"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B0F67A3" w14:textId="77777777" w:rsidR="00745226" w:rsidRDefault="00636FD9" w:rsidP="00EA2883">
      <w:pPr>
        <w:pStyle w:val="Heading2"/>
      </w:pPr>
      <w:r w:rsidRPr="00274E8F">
        <w:fldChar w:fldCharType="begin"/>
      </w:r>
      <w:r w:rsidRPr="00274E8F">
        <w:instrText xml:space="preserve"> LISTNUM LegalDefault \l 2 </w:instrText>
      </w:r>
      <w:bookmarkStart w:id="175" w:name="_Toc130368791"/>
      <w:r w:rsidRPr="00274E8F">
        <w:fldChar w:fldCharType="end"/>
      </w:r>
      <w:r w:rsidR="002970B7">
        <w:br/>
      </w:r>
      <w:r>
        <w:t>Failure to State a Claim</w:t>
      </w:r>
      <w:bookmarkEnd w:id="175"/>
    </w:p>
    <w:p w14:paraId="7785D464" w14:textId="7FF3C013"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State a Claim</w:t>
      </w:r>
    </w:p>
    <w:p w14:paraId="0780292E" w14:textId="5CA315BD"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This affirmative defense applies if the plaintiff fails to state facts sufficient to constitute a cause of action. (Code Civ. Proc.</w:t>
      </w:r>
      <w:r>
        <w:rPr>
          <w:rFonts w:cs="Times New Roman"/>
          <w:bCs/>
          <w:szCs w:val="24"/>
        </w:rPr>
        <w:t>,</w:t>
      </w:r>
      <w:r w:rsidRPr="007F5801">
        <w:rPr>
          <w:rFonts w:cs="Times New Roman"/>
          <w:bCs/>
          <w:szCs w:val="24"/>
        </w:rPr>
        <w:t xml:space="preserve"> § 430.10(e).)</w:t>
      </w:r>
    </w:p>
    <w:p w14:paraId="705FE65C" w14:textId="3CFC5ACE"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EA19487" w14:textId="70DA2F1B"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88044CD" w14:textId="77777777" w:rsidR="00745226" w:rsidRDefault="00636FD9" w:rsidP="00EA2883">
      <w:pPr>
        <w:pStyle w:val="Heading2"/>
      </w:pPr>
      <w:r w:rsidRPr="00274E8F">
        <w:fldChar w:fldCharType="begin"/>
      </w:r>
      <w:r w:rsidRPr="00274E8F">
        <w:instrText xml:space="preserve"> LISTNUM LegalDefault \l 2 </w:instrText>
      </w:r>
      <w:bookmarkStart w:id="179" w:name="_Toc130368794"/>
      <w:r w:rsidRPr="00274E8F">
        <w:fldChar w:fldCharType="end"/>
      </w:r>
      <w:r w:rsidR="002970B7">
        <w:br/>
      </w:r>
      <w:r>
        <w:t>Ratification</w:t>
      </w:r>
      <w:bookmarkEnd w:id="179"/>
    </w:p>
    <w:p w14:paraId="485C5B26" w14:textId="310B1E67"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—Ratification</w:t>
      </w:r>
    </w:p>
    <w:p w14:paraId="5F3CBD4E" w14:textId="774FB840" w:rsidR="00745226" w:rsidRDefault="00636FD9" w:rsidP="00636FD9">
      <w:pPr>
        <w:spacing w:after="264"/>
        <w:ind w:left="1080" w:hanging="360"/>
        <w:rPr>
          <w:rFonts w:cs="Times New Roman"/>
          <w:bCs/>
          <w:szCs w:val="24"/>
        </w:rPr>
      </w:pPr>
      <w:r>
        <w:rPr>
          <w:rFonts w:cs="Times New Roman"/>
          <w:bCs/>
          <w:szCs w:val="24"/>
        </w:rPr>
        <w:t xml:space="preserve">—  </w:t>
      </w:r>
      <w:bookmarkStart w:id="180" w:name="_Hlk41472146"/>
      <w:r w:rsidRPr="0024259B">
        <w:rPr>
          <w:rFonts w:cs="Times New Roman"/>
          <w:bCs/>
          <w:szCs w:val="24"/>
        </w:rPr>
        <w:t>The defendant is not liable for the plaintiff’s harm because the plaintiff ratified the defendant’s conduct</w:t>
      </w:r>
      <w:r>
        <w:rPr>
          <w:rFonts w:cs="Times New Roman"/>
          <w:bCs/>
          <w:szCs w:val="24"/>
        </w:rPr>
        <w:t xml:space="preserve"> after the conduct occurred</w:t>
      </w:r>
      <w:r w:rsidRPr="0024259B">
        <w:rPr>
          <w:rFonts w:cs="Times New Roman"/>
          <w:bCs/>
          <w:szCs w:val="24"/>
        </w:rPr>
        <w:t>. (Civ. Code</w:t>
      </w:r>
      <w:r>
        <w:rPr>
          <w:rFonts w:cs="Times New Roman"/>
          <w:bCs/>
          <w:szCs w:val="24"/>
        </w:rPr>
        <w:t>,</w:t>
      </w:r>
      <w:r w:rsidRPr="0024259B">
        <w:rPr>
          <w:rFonts w:cs="Times New Roman"/>
          <w:bCs/>
          <w:szCs w:val="24"/>
        </w:rPr>
        <w:t xml:space="preserve"> §§ 1588, 2307, 2310, 2311</w:t>
      </w:r>
      <w:r>
        <w:rPr>
          <w:rFonts w:cs="Times New Roman"/>
          <w:bCs/>
          <w:szCs w:val="24"/>
        </w:rPr>
        <w:t xml:space="preserve">; </w:t>
      </w:r>
      <w:r w:rsidRPr="00D019F0">
        <w:rPr>
          <w:rFonts w:cs="Times New Roman"/>
          <w:bCs/>
          <w:i/>
          <w:iCs/>
          <w:szCs w:val="24"/>
        </w:rPr>
        <w:t xml:space="preserve">Cruz v. </w:t>
      </w:r>
      <w:proofErr w:type="spellStart"/>
      <w:r w:rsidRPr="00D019F0">
        <w:rPr>
          <w:rFonts w:cs="Times New Roman"/>
          <w:bCs/>
          <w:i/>
          <w:iCs/>
          <w:szCs w:val="24"/>
        </w:rPr>
        <w:t>HomeBase</w:t>
      </w:r>
      <w:proofErr w:type="spellEnd"/>
      <w:r w:rsidRPr="00D019F0">
        <w:rPr>
          <w:rFonts w:cs="Times New Roman"/>
          <w:bCs/>
          <w:szCs w:val="24"/>
        </w:rPr>
        <w:t xml:space="preserve"> (2000) 83 Cal.App.4th 160, 168; </w:t>
      </w:r>
      <w:r w:rsidRPr="00D019F0">
        <w:rPr>
          <w:rFonts w:cs="Times New Roman"/>
          <w:bCs/>
          <w:i/>
          <w:iCs/>
          <w:szCs w:val="24"/>
        </w:rPr>
        <w:t>C.R. v. Tenet Healthcare Corp.</w:t>
      </w:r>
      <w:r w:rsidRPr="00D019F0">
        <w:rPr>
          <w:rFonts w:cs="Times New Roman"/>
          <w:bCs/>
          <w:szCs w:val="24"/>
        </w:rPr>
        <w:t xml:space="preserve"> (2009) 169 Cal.App.4th 1094, 1111, [“[T]he ratification relates back to the time the tortious act occurred.”]</w:t>
      </w:r>
      <w:r w:rsidRPr="0024259B">
        <w:rPr>
          <w:rFonts w:cs="Times New Roman"/>
          <w:bCs/>
          <w:szCs w:val="24"/>
        </w:rPr>
        <w:t>.)</w:t>
      </w:r>
      <w:bookmarkEnd w:id="180"/>
    </w:p>
    <w:p w14:paraId="3DC93C6F" w14:textId="7784B712"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F5D4F55" w14:textId="367FA17B"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CECFCFB" w14:textId="77777777" w:rsidR="00745226" w:rsidRDefault="00636FD9" w:rsidP="00EA2883">
      <w:pPr>
        <w:pStyle w:val="Heading2"/>
      </w:pPr>
      <w:r w:rsidRPr="00274E8F">
        <w:fldChar w:fldCharType="begin"/>
      </w:r>
      <w:r w:rsidRPr="00274E8F">
        <w:instrText xml:space="preserve"> LISTNUM LegalDefault \l 2 </w:instrText>
      </w:r>
      <w:bookmarkStart w:id="182" w:name="_Toc130368796"/>
      <w:r w:rsidRPr="00274E8F">
        <w:fldChar w:fldCharType="end"/>
      </w:r>
      <w:r w:rsidR="002970B7">
        <w:br/>
      </w:r>
      <w:r>
        <w:t>Consent</w:t>
      </w:r>
      <w:bookmarkEnd w:id="182"/>
    </w:p>
    <w:p w14:paraId="4FBF4141" w14:textId="0378CA1C"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—Consent</w:t>
      </w:r>
    </w:p>
    <w:p w14:paraId="6A0290A9" w14:textId="2B50A463" w:rsidR="00745226" w:rsidRDefault="00636FD9" w:rsidP="00636FD9">
      <w:pPr>
        <w:spacing w:after="264"/>
        <w:ind w:left="1080" w:hanging="360"/>
        <w:rPr>
          <w:rFonts w:cs="Times New Roman"/>
          <w:bCs/>
          <w:szCs w:val="24"/>
        </w:rPr>
      </w:pPr>
      <w:r>
        <w:rPr>
          <w:rFonts w:cs="Times New Roman"/>
          <w:bCs/>
          <w:szCs w:val="24"/>
        </w:rPr>
        <w:t xml:space="preserve">—  </w:t>
      </w:r>
      <w:r w:rsidRPr="00AC6338">
        <w:rPr>
          <w:rFonts w:cs="Times New Roman"/>
          <w:bCs/>
          <w:szCs w:val="24"/>
        </w:rPr>
        <w:t xml:space="preserve">The defendant is not liable for the plaintiff’s harm if the plaintiff consented to the conduct prior to the harm-producing conduct’s occurrence. (Civ. Code, §§ 3515, 3516; </w:t>
      </w:r>
      <w:r w:rsidRPr="00C45CEA">
        <w:rPr>
          <w:rFonts w:cs="Times New Roman"/>
          <w:bCs/>
          <w:i/>
          <w:iCs/>
          <w:szCs w:val="24"/>
        </w:rPr>
        <w:t>Austin B. v. Escondido Union School Dist.</w:t>
      </w:r>
      <w:r w:rsidRPr="00AC6338">
        <w:rPr>
          <w:rFonts w:cs="Times New Roman"/>
          <w:bCs/>
          <w:szCs w:val="24"/>
        </w:rPr>
        <w:t xml:space="preserve"> (2007) 149 Cal.App.4th 860, 875; </w:t>
      </w:r>
      <w:r w:rsidRPr="00C45CEA">
        <w:rPr>
          <w:rFonts w:cs="Times New Roman"/>
          <w:bCs/>
          <w:i/>
          <w:iCs/>
          <w:szCs w:val="24"/>
        </w:rPr>
        <w:t>Royer v. Steinberg</w:t>
      </w:r>
      <w:r w:rsidRPr="00AC6338">
        <w:rPr>
          <w:rFonts w:cs="Times New Roman"/>
          <w:bCs/>
          <w:szCs w:val="24"/>
        </w:rPr>
        <w:t xml:space="preserve"> (1979) 90 Cal.App.3d 490, 498.)</w:t>
      </w:r>
    </w:p>
    <w:p w14:paraId="35C997E1" w14:textId="67C88F37"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CE3409D" w14:textId="1701794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8D8E6F2" w14:textId="26CF1970" w:rsidR="002C3B40" w:rsidRDefault="002C3B40" w:rsidP="002C3B40">
      <w:pPr>
        <w:pStyle w:val="NormalEnd"/>
      </w:pPr>
      <w:r>
        <w:t>This section of the LADD may be amended from time to time if new information/evidence comes to light that supports additional affirmative defenses.</w:t>
      </w:r>
    </w:p>
    <w:p w14:paraId="32A1B46F" w14:textId="77777777" w:rsidR="00AA7954" w:rsidRPr="00AA7954" w:rsidRDefault="00AA7954" w:rsidP="00AA7954">
      <w:pPr>
        <w:spacing w:after="264"/>
        <w:jc w:val="center"/>
        <w:rPr>
          <w:color w:val="000099"/>
        </w:rPr>
      </w:pPr>
      <w:r w:rsidRPr="00AA7954">
        <w:rPr>
          <w:color w:val="000099"/>
        </w:rPr>
        <w:t>________________________________</w:t>
      </w:r>
    </w:p>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420E2D8A" w14:textId="13E28C78" w:rsidR="00E81A21" w:rsidRDefault="00E81A21" w:rsidP="00E81A21">
      <w:pPr>
        <w:spacing w:after="264"/>
      </w:pPr>
      <w:r>
        <w:t xml:space="preserve">This section is </w:t>
      </w:r>
      <w:r>
        <w:rPr>
          <w:i/>
          <w:iCs/>
        </w:rPr>
        <w:t>not</w:t>
      </w:r>
      <w:r>
        <w:t xml:space="preserve"> intended to address whether or not the statute of limitations has run on a particular cross-claim that might have otherwise been relevant under the facts. Those specifics can be found in reference to each of the potential cross-claims discussed above. </w:t>
      </w:r>
    </w:p>
    <w:p w14:paraId="4A1825B9" w14:textId="68A9BB67" w:rsidR="00E81A21" w:rsidRDefault="00E81A21" w:rsidP="00E81A21">
      <w:pPr>
        <w:spacing w:after="264"/>
      </w:pPr>
      <w:r>
        <w:t>Rather, this section of the LADD is intended only to highlight the earliest statute of limitations relevant to one of the available above-referenced cross-claims. If</w:t>
      </w:r>
      <w:r w:rsidR="003E431D">
        <w:t>, therefore,</w:t>
      </w:r>
      <w:r>
        <w:t xml:space="preserve"> Client wants to file a cross-complaint containing the applicable the causes of action discussed above, the action must be filed on or before </w:t>
      </w:r>
      <w:r>
        <w:rPr>
          <w:rFonts w:cs="Times New Roman"/>
          <w:b/>
          <w:bCs/>
          <w:color w:val="C00000"/>
          <w:szCs w:val="24"/>
          <w:u w:val="single"/>
        </w:rPr>
        <w:t>TBD</w:t>
      </w:r>
      <w:r>
        <w:t>.</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7BDB493A" w14:textId="70849805" w:rsidR="00745226" w:rsidRDefault="00CF4167" w:rsidP="00C53B37">
      <w:pPr>
        <w:spacing w:after="264"/>
        <w:rPr>
          <w:rFonts w:cs="Times New Roman"/>
          <w:bCs/>
          <w:szCs w:val="24"/>
        </w:rPr>
      </w:pPr>
      <w:r>
        <w:rPr>
          <w:rFonts w:cs="Times New Roman"/>
          <w:bCs/>
          <w:szCs w:val="24"/>
        </w:rPr>
        <w:t>Article 9, section 9.12</w:t>
      </w:r>
      <w:r w:rsidR="00C53B37" w:rsidRPr="00020852">
        <w:rPr>
          <w:rFonts w:cs="Times New Roman"/>
          <w:bCs/>
          <w:szCs w:val="24"/>
        </w:rPr>
        <w:t xml:space="preserve"> </w:t>
      </w:r>
      <w:bookmarkStart w:id="193" w:name="_Hlk41900326"/>
      <w:r w:rsidR="00C53B37" w:rsidRPr="00020852">
        <w:rPr>
          <w:rFonts w:cs="Times New Roman"/>
          <w:bCs/>
          <w:szCs w:val="24"/>
        </w:rPr>
        <w:t xml:space="preserve">of the CC&amp;Rs contains </w:t>
      </w:r>
      <w:bookmarkStart w:id="194" w:name="_Hlk53660807"/>
      <w:r w:rsidR="00C53B37" w:rsidRPr="00020852">
        <w:rPr>
          <w:rFonts w:cs="Times New Roman"/>
          <w:bCs/>
          <w:szCs w:val="24"/>
        </w:rPr>
        <w:t xml:space="preserve">a binding arbitration provision. </w:t>
      </w:r>
      <w:r w:rsidR="00CD357D" w:rsidRPr="00020852">
        <w:rPr>
          <w:rFonts w:cs="Times New Roman"/>
          <w:bCs/>
          <w:szCs w:val="24"/>
        </w:rPr>
        <w:t xml:space="preserve">Consequently, </w:t>
      </w:r>
      <w:r w:rsidR="00EB2969" w:rsidRPr="00020852">
        <w:rPr>
          <w:rFonts w:cs="Times New Roman"/>
          <w:bCs/>
          <w:szCs w:val="24"/>
        </w:rPr>
        <w:t>legal action</w:t>
      </w:r>
      <w:r w:rsidR="00CD357D" w:rsidRPr="00020852">
        <w:rPr>
          <w:rFonts w:cs="Times New Roman"/>
          <w:bCs/>
          <w:szCs w:val="24"/>
        </w:rPr>
        <w:t xml:space="preserve"> related to the issues in dispute must be </w:t>
      </w:r>
      <w:r w:rsidR="00EB2969" w:rsidRPr="00020852">
        <w:rPr>
          <w:rFonts w:cs="Times New Roman"/>
          <w:bCs/>
          <w:szCs w:val="24"/>
        </w:rPr>
        <w:t>litigated</w:t>
      </w:r>
      <w:r w:rsidR="00CD357D" w:rsidRPr="00020852">
        <w:rPr>
          <w:rFonts w:cs="Times New Roman"/>
          <w:bCs/>
          <w:szCs w:val="24"/>
        </w:rPr>
        <w:t xml:space="preserve"> </w:t>
      </w:r>
      <w:r w:rsidR="00EB2969" w:rsidRPr="00020852">
        <w:rPr>
          <w:rFonts w:cs="Times New Roman"/>
          <w:bCs/>
          <w:szCs w:val="24"/>
        </w:rPr>
        <w:t>in the manner</w:t>
      </w:r>
      <w:r w:rsidR="00CD357D" w:rsidRPr="00020852">
        <w:rPr>
          <w:rFonts w:cs="Times New Roman"/>
          <w:bCs/>
          <w:szCs w:val="24"/>
        </w:rPr>
        <w:t xml:space="preserve"> </w:t>
      </w:r>
      <w:r w:rsidR="00C53B37" w:rsidRPr="00020852">
        <w:rPr>
          <w:rFonts w:cs="Times New Roman"/>
          <w:bCs/>
          <w:szCs w:val="24"/>
        </w:rPr>
        <w:t xml:space="preserve">directed by that provision </w:t>
      </w:r>
      <w:bookmarkEnd w:id="194"/>
      <w:r w:rsidR="00C53B37" w:rsidRPr="00020852">
        <w:rPr>
          <w:rFonts w:cs="Times New Roman"/>
          <w:bCs/>
          <w:szCs w:val="24"/>
        </w:rPr>
        <w:t>of the CC&amp;Rs</w:t>
      </w:r>
      <w:r w:rsidR="001A6D43" w:rsidRPr="00020852">
        <w:rPr>
          <w:rFonts w:cs="Times New Roman"/>
          <w:bCs/>
          <w:szCs w:val="24"/>
        </w:rPr>
        <w:t xml:space="preserve">, and may be compelled or confirmed in the superior court of </w:t>
      </w:r>
      <w:r>
        <w:rPr>
          <w:rFonts w:cs="Times New Roman"/>
          <w:szCs w:val="24"/>
        </w:rPr>
        <w:t>Ventura</w:t>
      </w:r>
      <w:r w:rsidR="001A6D43" w:rsidRPr="00020852">
        <w:rPr>
          <w:rFonts w:cs="Times New Roman"/>
          <w:bCs/>
          <w:szCs w:val="24"/>
        </w:rPr>
        <w:t xml:space="preserve"> County (where the property at issue is located)</w:t>
      </w:r>
      <w:r w:rsidR="00C53B37" w:rsidRPr="00020852">
        <w:rPr>
          <w:rFonts w:cs="Times New Roman"/>
          <w:bCs/>
          <w:szCs w:val="24"/>
        </w:rPr>
        <w:t>.</w:t>
      </w:r>
      <w:bookmarkEnd w:id="193"/>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ACA7461" w14:textId="3F0D3E14" w:rsidR="00745226" w:rsidRDefault="001A6D43" w:rsidP="00C53B37">
      <w:pPr>
        <w:spacing w:after="264"/>
        <w:rPr>
          <w:rFonts w:cs="Times New Roman"/>
        </w:rPr>
      </w:pPr>
      <w:r w:rsidRPr="00020852">
        <w:rPr>
          <w:rFonts w:cs="Times New Roman"/>
        </w:rPr>
        <w:t xml:space="preserve">The parties to the CC&amp;Rs agreed to submit all disputes to binding arbitration (as discussed above) in </w:t>
      </w:r>
      <w:r>
        <w:rPr>
          <w:rFonts w:cs="Times New Roman"/>
          <w:szCs w:val="24"/>
        </w:rPr>
        <w:t>Ventura</w:t>
      </w:r>
      <w:r w:rsidRPr="00020852">
        <w:rPr>
          <w:rFonts w:cs="Times New Roman"/>
        </w:rPr>
        <w:t xml:space="preserve"> County</w:t>
      </w:r>
      <w:bookmarkStart w:id="198" w:name="_Hlk53661901"/>
      <w:r w:rsidRPr="00020852">
        <w:rPr>
          <w:rFonts w:cs="Times New Roman"/>
        </w:rPr>
        <w:t>.</w:t>
      </w:r>
      <w:bookmarkEnd w:id="198"/>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1DE283D4" w14:textId="3CF82440" w:rsidR="00816AF1" w:rsidRDefault="00F669D7" w:rsidP="00816AF1">
      <w:pPr>
        <w:spacing w:after="264"/>
      </w:pPr>
      <w:r>
        <w:t>Based upon the information/evidence that Client has provided thus far, it appears that the opposing party has standing to pursue each of the claims alleged against Client.</w:t>
      </w:r>
    </w:p>
    <w:p w14:paraId="7EB1AFF6" w14:textId="3E24DBF4" w:rsidR="00F410A2" w:rsidRDefault="005D1E92" w:rsidP="00DB29DE">
      <w:pPr>
        <w:spacing w:after="264"/>
      </w:pPr>
      <w:r>
        <w:t>Based upon the information/evidence that Client has provided thus far, Client has standing to pursue every cross-claim described above against each of the intended defendants (excluding DOES, of course).</w:t>
      </w:r>
    </w:p>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27589420" w14:textId="77777777" w:rsidR="00A35502" w:rsidRDefault="00A35502" w:rsidP="00A35502">
      <w:pPr>
        <w:spacing w:after="264"/>
        <w:rPr>
          <w:rFonts w:cs="Times New Roman"/>
        </w:rPr>
      </w:pPr>
      <w:r w:rsidRPr="0085153D">
        <w:rPr>
          <w:rFonts w:cs="Times New Roman"/>
        </w:rPr>
        <w:t xml:space="preserve">Civil Code section 5930 requires parties to attempt alternative dispute resolution prior to filing certain types of lawsuits. While that provision of the Davis-Stirling Act </w:t>
      </w:r>
      <w:r w:rsidRPr="0085153D">
        <w:rPr>
          <w:rFonts w:cs="Times New Roman"/>
          <w:i/>
          <w:iCs/>
        </w:rPr>
        <w:t>does</w:t>
      </w:r>
      <w:r w:rsidRPr="0085153D">
        <w:rPr>
          <w:rFonts w:cs="Times New Roman"/>
        </w:rPr>
        <w:t xml:space="preserve"> apply in this matter, the opposition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Section 9.12(b), Section 18.9</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TBD</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Mehranrazi v. Westlake North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