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1630" w:rsidP="00FD77B5">
      <w:pPr>
        <w:spacing w:afterLines="0" w:after="0"/>
        <w:jc w:val="center"/>
        <w:rPr>
          <w:rFonts w:cs="Times New Roman"/>
          <w:color w:val="000099"/>
          <w:sz w:val="52"/>
          <w:szCs w:val="52"/>
        </w:rPr>
      </w:pPr>
      <w:r>
        <w:rPr>
          <w:rFonts w:cs="Times New Roman"/>
          <w:color w:val="000099"/>
          <w:sz w:val="52"/>
          <w:szCs w:val="52"/>
        </w:rPr>
        <w:t>Hasan v. Inglewood Crossroads HOA</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1630"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89F425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F54B5">
        <w:rPr>
          <w:rFonts w:cs="Times New Roman"/>
          <w:bCs/>
          <w:noProof/>
          <w:color w:val="000099"/>
          <w:sz w:val="26"/>
          <w:szCs w:val="26"/>
        </w:rPr>
        <w:t>October 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163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163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163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163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163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163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163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163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163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163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163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163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163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163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163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163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163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163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163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6C163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163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163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163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163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163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163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163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163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163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163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163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163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163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163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163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163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163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163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163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163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163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163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163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163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163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163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163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163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163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163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163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163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163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163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163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163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163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163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163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163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163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163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163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163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163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163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163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163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163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163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163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163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163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163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163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163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163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163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163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163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163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163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163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163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163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163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163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163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163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163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163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163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163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163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163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163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163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163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163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163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163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163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163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163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163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163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163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163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163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163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163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163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163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163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163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163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163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163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163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1630" w:rsidP="00FB173A">
      <w:pPr>
        <w:pStyle w:val="NormalEnd"/>
      </w:pPr>
      <w:r>
        <w:t>Client is the owner of the real property located at 435 E. Tamarack, Unit 172, Inglewood, CA 90301 (the “Property”), within the HOA.</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C1630" w:rsidP="00B83DD4">
            <w:pPr>
              <w:spacing w:afterLines="0" w:after="0"/>
              <w:rPr>
                <w:rFonts w:ascii="Times New Roman" w:hAnsi="Times New Roman" w:cs="Times New Roman"/>
                <w:sz w:val="20"/>
                <w:szCs w:val="20"/>
              </w:rPr>
            </w:pPr>
            <w:r>
              <w:rPr>
                <w:rFonts w:cs="Times New Roman"/>
                <w:sz w:val="20"/>
                <w:szCs w:val="20"/>
              </w:rPr>
              <w:t>Ali Hasan and Virginia Williams</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Inglewood Crossroads Homeonwers Association ("HOA")</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C1630"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bookmarkStart w:id="25" w:name="_Hlk131406768"/>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TBD</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1"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5" w:name="_Toc130368800"/>
      <w:r w:rsidRPr="00020852">
        <w:fldChar w:fldCharType="end"/>
      </w:r>
      <w:r w:rsidR="002970B7">
        <w:br/>
      </w:r>
      <w:r w:rsidR="00B77716" w:rsidRPr="00020852">
        <w:t>STRATEGIC CONSIDERATIONS</w:t>
      </w:r>
      <w:bookmarkEnd w:id="185"/>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6" w:name="_Toc53565571"/>
      <w:bookmarkStart w:id="187" w:name="_Toc130368801"/>
      <w:r w:rsidRPr="002F7882">
        <w:rPr>
          <w:color w:val="C00000"/>
        </w:rPr>
        <w:fldChar w:fldCharType="end"/>
      </w:r>
      <w:r w:rsidRPr="002F7882">
        <w:rPr>
          <w:color w:val="C00000"/>
        </w:rPr>
        <w:br/>
        <w:t>Statute of Limitations</w:t>
      </w:r>
      <w:bookmarkEnd w:id="186"/>
      <w:bookmarkEnd w:id="187"/>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r>
        <w:rPr>
          <w:rFonts w:cs="Times New Roman"/>
          <w:b/>
          <w:bCs/>
          <w:color w:val="C00000"/>
          <w:szCs w:val="24"/>
          <w:u w:val="single"/>
        </w:rPr>
        <w:t>TBD</w:t>
      </w:r>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8" w:name="_Toc130368802"/>
      <w:r w:rsidRPr="00020852">
        <w:fldChar w:fldCharType="end"/>
      </w:r>
      <w:r w:rsidR="002970B7">
        <w:br/>
      </w:r>
      <w:r w:rsidRPr="00020852">
        <w:t>Applicability of Davis-Stirling Act</w:t>
      </w:r>
      <w:bookmarkEnd w:id="188"/>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9" w:name="_Toc130368803"/>
      <w:r w:rsidRPr="00020852">
        <w:fldChar w:fldCharType="end"/>
      </w:r>
      <w:r w:rsidR="002970B7">
        <w:br/>
      </w:r>
      <w:r w:rsidR="00184ADF" w:rsidRPr="00020852">
        <w:t>Jurisdiction</w:t>
      </w:r>
      <w:bookmarkEnd w:id="189"/>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0" w:name="_Toc130368804"/>
      <w:r w:rsidRPr="00020852">
        <w:fldChar w:fldCharType="end"/>
      </w:r>
      <w:r w:rsidR="002970B7">
        <w:br/>
      </w:r>
      <w:r w:rsidR="00C53B37" w:rsidRPr="00020852">
        <w:t>Arbitration</w:t>
      </w:r>
      <w:bookmarkEnd w:id="190"/>
    </w:p>
    <w:bookmarkStart w:id="191" w:name="_Hlk53658305"/>
    <w:p w14:paraId="306FC814" w14:textId="354137E4" w:rsidR="00745226" w:rsidRDefault="00C53B37" w:rsidP="00C53B37">
      <w:pPr>
        <w:spacing w:after="264"/>
        <w:rPr>
          <w:rFonts w:cs="Times New Roman"/>
          <w:bCs/>
          <w:szCs w:val="24"/>
        </w:rPr>
      </w:pPr>
      <w:bookmarkStart w:id="194" w:name="_Hlk41900374"/>
      <w:bookmarkStart w:id="195" w:name="_Hlk41900647"/>
      <w:r w:rsidRPr="00020852">
        <w:rPr>
          <w:rFonts w:cs="Times New Roman"/>
          <w:bCs/>
          <w:szCs w:val="24"/>
        </w:rPr>
        <w:t xml:space="preserve">Since there is no binding arbitration provision in the CC&amp;Rs, any litigation related to the dispute must take place in </w:t>
      </w:r>
      <w:bookmarkEnd w:id="194"/>
      <w:r w:rsidR="00702005" w:rsidRPr="00020852">
        <w:rPr>
          <w:rFonts w:cs="Times New Roman"/>
          <w:bCs/>
          <w:szCs w:val="24"/>
        </w:rPr>
        <w:t xml:space="preserve">the superior court of </w:t>
      </w:r>
      <w:r>
        <w:rPr>
          <w:rFonts w:cs="Times New Roman"/>
          <w:szCs w:val="24"/>
        </w:rPr>
        <w:t>Los Angeles</w:t>
      </w:r>
      <w:r w:rsidR="00702005" w:rsidRPr="00020852">
        <w:rPr>
          <w:rFonts w:cs="Times New Roman"/>
          <w:bCs/>
          <w:szCs w:val="24"/>
        </w:rPr>
        <w:t xml:space="preserve"> County because that is where Client’s property is located.</w:t>
      </w:r>
      <w:bookmarkEnd w:id="195"/>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6" w:name="_Toc130368805"/>
      <w:r w:rsidRPr="00020852">
        <w:fldChar w:fldCharType="end"/>
      </w:r>
      <w:r w:rsidR="002970B7">
        <w:br/>
      </w:r>
      <w:bookmarkEnd w:id="196"/>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r>
        <w:rPr>
          <w:rFonts w:cs="Times New Roman"/>
          <w:szCs w:val="24"/>
        </w:rPr>
        <w:t>Los Angeles</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8" w:name="_Toc130368807"/>
      <w:r w:rsidRPr="00020852">
        <w:fldChar w:fldCharType="end"/>
      </w:r>
      <w:r>
        <w:br/>
        <w:t>Standing</w:t>
      </w:r>
      <w:bookmarkEnd w:id="198"/>
    </w:p>
    <w:bookmarkStart w:id="199" w:name="_Hlk43282553"/>
    <w:bookmarkStart w:id="200"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01"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202" w:name="_Toc130368808"/>
      <w:r w:rsidRPr="00020852">
        <w:fldChar w:fldCharType="end"/>
      </w:r>
      <w:r w:rsidR="002970B7">
        <w:br/>
      </w:r>
      <w:r w:rsidRPr="00020852">
        <w:t>Anti-SLAPP Analysis</w:t>
      </w:r>
      <w:bookmarkEnd w:id="202"/>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7" w:name="_Toc130368809"/>
      <w:r w:rsidRPr="00020852">
        <w:fldChar w:fldCharType="end"/>
      </w:r>
      <w:r>
        <w:br/>
      </w:r>
      <w:r w:rsidRPr="00020852">
        <w:t>Pre-Filing Requirements</w:t>
      </w:r>
      <w:bookmarkEnd w:id="217"/>
      <w:r w:rsidR="00E24072">
        <w:br/>
        <w:t>(e.g., Notice or Mediation Requirements)</w:t>
      </w:r>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bookmarkStart w:id="218"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1" w:name="_Toc130368810"/>
      <w:r w:rsidRPr="00020852">
        <w:fldChar w:fldCharType="end"/>
      </w:r>
      <w:r>
        <w:br/>
      </w:r>
      <w:r w:rsidRPr="00020852">
        <w:t>Attorneys’ Fees and Costs</w:t>
      </w:r>
      <w:bookmarkEnd w:id="221"/>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5"/>
    </w:p>
    <w:p w14:paraId="0E7FD39D" w14:textId="5CB84CD9" w:rsidR="0057244F" w:rsidRDefault="006C1630" w:rsidP="00ED253D">
      <w:pPr>
        <w:spacing w:after="264"/>
      </w:pPr>
      <w:r>
        <w:t>None at this time.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4"/>
    </w:p>
    <w:p w14:paraId="5828B9B5" w14:textId="61325DEF" w:rsidR="00187D06" w:rsidRDefault="002A00E7" w:rsidP="001257C8">
      <w:pPr>
        <w:pStyle w:val="Line"/>
      </w:pPr>
      <w:bookmarkStart w:id="226" w:name="_Hlk43439444"/>
      <w:r w:rsidRPr="005C5314">
        <w:t>________________________________</w:t>
      </w:r>
      <w:bookmarkEnd w:id="226"/>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A4F" w14:textId="77777777" w:rsidR="00A04216" w:rsidRDefault="00A04216" w:rsidP="007B1C23">
      <w:pPr>
        <w:spacing w:after="264"/>
      </w:pPr>
      <w:r>
        <w:separator/>
      </w:r>
    </w:p>
    <w:p w14:paraId="1604697A" w14:textId="77777777" w:rsidR="00A04216" w:rsidRDefault="00A04216">
      <w:pPr>
        <w:spacing w:after="264"/>
      </w:pPr>
    </w:p>
  </w:endnote>
  <w:endnote w:type="continuationSeparator" w:id="0">
    <w:p w14:paraId="6F905074" w14:textId="77777777" w:rsidR="00A04216" w:rsidRDefault="00A04216" w:rsidP="007B1C23">
      <w:pPr>
        <w:spacing w:after="264"/>
      </w:pPr>
      <w:r>
        <w:continuationSeparator/>
      </w:r>
    </w:p>
    <w:p w14:paraId="0E6B5FC4" w14:textId="77777777" w:rsidR="00A04216" w:rsidRDefault="00A0421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163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Hasan v. Inglewood Crossroads HOA</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E2DF" w14:textId="77777777" w:rsidR="00A04216" w:rsidRDefault="00A04216" w:rsidP="007B1C23">
      <w:pPr>
        <w:spacing w:after="264"/>
      </w:pPr>
      <w:r>
        <w:separator/>
      </w:r>
    </w:p>
    <w:p w14:paraId="1F747CE6" w14:textId="77777777" w:rsidR="00A04216" w:rsidRDefault="00A04216">
      <w:pPr>
        <w:spacing w:after="264"/>
      </w:pPr>
    </w:p>
  </w:footnote>
  <w:footnote w:type="continuationSeparator" w:id="0">
    <w:p w14:paraId="352BD632" w14:textId="77777777" w:rsidR="00A04216" w:rsidRDefault="00A04216" w:rsidP="007B1C23">
      <w:pPr>
        <w:spacing w:after="264"/>
      </w:pPr>
      <w:r>
        <w:continuationSeparator/>
      </w:r>
    </w:p>
    <w:p w14:paraId="6DC5072A" w14:textId="77777777" w:rsidR="00A04216" w:rsidRDefault="00A04216">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2843</TotalTime>
  <Pages>189</Pages>
  <Words>56086</Words>
  <Characters>319695</Characters>
  <Application>Microsoft Office Word</Application>
  <DocSecurity>0</DocSecurity>
  <Lines>2664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447</cp:revision>
  <cp:lastPrinted>2019-02-13T22:26:00Z</cp:lastPrinted>
  <dcterms:created xsi:type="dcterms:W3CDTF">2020-06-05T18:10:00Z</dcterms:created>
  <dcterms:modified xsi:type="dcterms:W3CDTF">2023-10-02T17:00:00Z</dcterms:modified>
</cp:coreProperties>
</file>