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8557E" w:rsidP="00FD77B5">
      <w:pPr>
        <w:spacing w:afterLines="0" w:after="0"/>
        <w:jc w:val="center"/>
        <w:rPr>
          <w:rFonts w:cs="Times New Roman"/>
          <w:color w:val="000099"/>
          <w:sz w:val="52"/>
          <w:szCs w:val="52"/>
        </w:rPr>
      </w:pPr>
      <w:r>
        <w:rPr>
          <w:rFonts w:cs="Times New Roman"/>
          <w:color w:val="000099"/>
          <w:sz w:val="52"/>
          <w:szCs w:val="52"/>
        </w:rPr>
        <w:t>Hill v. Mercury Insurance</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8557E"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0D4C27C"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8557E">
        <w:rPr>
          <w:rFonts w:cs="Times New Roman"/>
          <w:bCs/>
          <w:noProof/>
          <w:color w:val="000099"/>
          <w:sz w:val="26"/>
          <w:szCs w:val="26"/>
        </w:rPr>
        <w:t>October 10,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08557E">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08557E">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08557E">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08557E">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08557E">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08557E">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08557E">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08557E">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08557E">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08557E">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08557E">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08557E">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08557E">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08557E">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08557E">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08557E">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08557E">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08557E">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08557E">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08557E">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08557E">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08557E">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08557E">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08557E">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08557E">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08557E">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08557E">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08557E">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08557E">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08557E">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08557E">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08557E">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08557E">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08557E">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08557E">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08557E">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08557E">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08557E">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08557E">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08557E">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08557E">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08557E">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08557E">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08557E">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08557E">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08557E">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08557E">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08557E">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08557E">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08557E">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08557E">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08557E">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08557E">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08557E">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08557E">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08557E">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08557E">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08557E">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08557E">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08557E">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08557E">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08557E">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08557E">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08557E">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08557E">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08557E">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08557E">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08557E">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08557E">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08557E">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08557E">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08557E">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08557E">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08557E">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08557E">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08557E">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08557E">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08557E">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08557E">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08557E">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08557E">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08557E">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08557E">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08557E">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08557E">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08557E">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08557E">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08557E">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08557E">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08557E">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08557E">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08557E">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08557E">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08557E">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08557E">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08557E">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08557E">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08557E">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08557E">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08557E">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08557E">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08557E">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08557E">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08557E">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08557E">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08557E">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08557E">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08557E">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08557E">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08557E">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08557E">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08557E">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08557E">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08557E">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08557E">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08557E">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08557E">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08557E">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08557E">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08557E"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8557E" w:rsidP="00B83DD4">
            <w:pPr>
              <w:spacing w:afterLines="0" w:after="0"/>
              <w:rPr>
                <w:rFonts w:ascii="Times New Roman" w:hAnsi="Times New Roman" w:cs="Times New Roman"/>
                <w:sz w:val="20"/>
                <w:szCs w:val="20"/>
              </w:rPr>
            </w:pPr>
            <w:r>
              <w:rPr>
                <w:rFonts w:cs="Times New Roman"/>
                <w:sz w:val="20"/>
                <w:szCs w:val="20"/>
              </w:rPr>
              <w:t>Cliff Hill</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Mercury Insurance Company ("Mercury")</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Client’s Homeowners Insurance Carrier</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Document</w:t>
            </w:r>
            <w:r w:rsidR="00DB2BFF" w:rsidRPr="00D010AC">
              <w:rPr>
                <w:rFonts w:ascii="Times New Roman" w:hAnsi="Times New Roman" w:cs="Times New Roman"/>
                <w:b/>
                <w:lang w:val="fr-FR"/>
              </w:rPr>
              <w:t xml:space="preserve"> Name</w:t>
            </w:r>
          </w:p>
          <w:p w14:paraId="12F2346B" w14:textId="77777777"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Article / Section No.</w:t>
            </w:r>
          </w:p>
          <w:p w14:paraId="70D19C13" w14:textId="77777777" w:rsidR="001B2429" w:rsidRPr="00D010AC"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010AC"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roofErr w:type="spellStart"/>
            <w:r w:rsidRPr="00D010AC">
              <w:rPr>
                <w:rFonts w:ascii="Times New Roman" w:hAnsi="Times New Roman" w:cs="Times New Roman"/>
                <w:sz w:val="20"/>
                <w:szCs w:val="20"/>
                <w:highlight w:val="green"/>
                <w:lang w:val="fr-FR"/>
              </w:rPr>
              <w:t>CC&amp;Rs</w:t>
            </w:r>
            <w:proofErr w:type="spellEnd"/>
          </w:p>
          <w:p w14:paraId="55824A13" w14:textId="69DB9F61" w:rsidR="001B2429" w:rsidRPr="00D010AC" w:rsidRDefault="005015C1" w:rsidP="00CB4C47">
            <w:pPr>
              <w:spacing w:afterLines="0" w:after="0"/>
              <w:jc w:val="center"/>
              <w:rPr>
                <w:rFonts w:ascii="Times New Roman" w:hAnsi="Times New Roman" w:cs="Times New Roman"/>
                <w:sz w:val="20"/>
                <w:szCs w:val="20"/>
                <w:highlight w:val="green"/>
                <w:lang w:val="fr-FR"/>
              </w:rPr>
            </w:pPr>
            <w:r w:rsidRPr="00D010AC">
              <w:rPr>
                <w:rFonts w:ascii="Times New Roman" w:hAnsi="Times New Roman" w:cs="Times New Roman"/>
                <w:sz w:val="20"/>
                <w:szCs w:val="20"/>
                <w:highlight w:val="green"/>
                <w:lang w:val="fr-FR"/>
              </w:rPr>
              <w:t xml:space="preserve">Article IX, </w:t>
            </w:r>
            <w:r w:rsidR="001B2429" w:rsidRPr="00D010AC">
              <w:rPr>
                <w:rFonts w:ascii="Times New Roman" w:hAnsi="Times New Roman" w:cs="Times New Roman"/>
                <w:sz w:val="20"/>
                <w:szCs w:val="20"/>
                <w:highlight w:val="green"/>
                <w:lang w:val="fr-FR"/>
              </w:rPr>
              <w:t>Section 6.01</w:t>
            </w:r>
          </w:p>
          <w:p w14:paraId="02609DF6"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010AC"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bookmarkStart w:id="32" w:name="_Hlk41032600"/>
    <w:bookmarkStart w:id="33" w:name="_Hlk130368841"/>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7" w:name="_Toc53565518"/>
      <w:bookmarkStart w:id="108"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7"/>
      <w:bookmarkEnd w:id="108"/>
    </w:p>
    <w:p w14:paraId="282BE646" w14:textId="77777777" w:rsidR="0079009E" w:rsidRDefault="0079009E" w:rsidP="0079009E">
      <w:pPr>
        <w:spacing w:after="264"/>
      </w:pPr>
      <w:bookmarkStart w:id="10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a private party’s standing to bring such a claim—a private party was required to (i) establish a loss or deprivation of money or property sufficient to qualify as injury in fact (i.e., an economic injury), and </w:t>
      </w:r>
      <w:r>
        <w:lastRenderedPageBreak/>
        <w:t>(ii)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w:t>
      </w:r>
      <w:r>
        <w:lastRenderedPageBreak/>
        <w:t xml:space="preserve">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30" w:name="_Toc53565526"/>
      <w:bookmarkStart w:id="131" w:name="_Toc130368755"/>
      <w:r w:rsidRPr="00020852">
        <w:fldChar w:fldCharType="end"/>
      </w:r>
      <w:r>
        <w:br/>
      </w:r>
      <w:r w:rsidRPr="002D0B04">
        <w:t>Insurance Bad Faith</w:t>
      </w:r>
      <w:bookmarkEnd w:id="130"/>
      <w:bookmarkEnd w:id="131"/>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2"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32"/>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2"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TBD</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42E8AC15" w14:textId="7DB22D24" w:rsidR="00963248" w:rsidRDefault="0008557E" w:rsidP="00DE5C5E">
      <w:pPr>
        <w:spacing w:after="264"/>
        <w:rPr>
          <w:rFonts w:cs="Times New Roman"/>
          <w:bCs/>
          <w:szCs w:val="24"/>
        </w:rPr>
      </w:pPr>
      <w:r>
        <w:rPr>
          <w:rFonts w:cs="Times New Roman"/>
          <w:szCs w:val="24"/>
        </w:rPr>
        <w:t>TBD</w:t>
      </w:r>
      <w:r w:rsidR="00963248">
        <w:rPr>
          <w:rFonts w:cs="Times New Roman"/>
          <w:szCs w:val="24"/>
        </w:rPr>
        <w:t xml:space="preserve"> of the </w:t>
      </w:r>
      <w:r>
        <w:rPr>
          <w:rFonts w:cs="Times New Roman"/>
          <w:szCs w:val="24"/>
        </w:rPr>
        <w:t>TBD</w:t>
      </w:r>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r>
        <w:rPr>
          <w:rFonts w:cs="Times New Roman"/>
          <w:szCs w:val="24"/>
        </w:rPr>
        <w:t>Los Angeles</w:t>
      </w:r>
      <w:r w:rsidR="00963248">
        <w:rPr>
          <w:rFonts w:cs="Times New Roman"/>
          <w:szCs w:val="24"/>
        </w:rPr>
        <w:t xml:space="preserve"> County).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r>
        <w:rPr>
          <w:rFonts w:cs="Times New Roman"/>
          <w:szCs w:val="24"/>
        </w:rPr>
        <w:t>TBD</w:t>
      </w:r>
      <w:r>
        <w:rPr>
          <w:rFonts w:cs="Times New Roman"/>
          <w:szCs w:val="24"/>
        </w:rPr>
        <w:t xml:space="preserve"> agreed to submit all disputes to binding arbitration in </w:t>
      </w:r>
      <w:r>
        <w:rPr>
          <w:rFonts w:cs="Times New Roman"/>
          <w:szCs w:val="24"/>
        </w:rPr>
        <w:t>Los Angeles</w:t>
      </w:r>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2" w:name="_Hlk43278950"/>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bookmarkStart w:id="219" w:name="_Hlk130541436"/>
    <w:bookmarkStart w:id="220" w:name="_Hlk130535673"/>
    <w:p w14:paraId="7C42C484" w14:textId="77777777" w:rsidR="000F0C9F" w:rsidRPr="00E610A9" w:rsidRDefault="0008557E" w:rsidP="000F0C9F">
      <w:pPr>
        <w:spacing w:after="264"/>
      </w:pPr>
      <w:r>
        <w:rPr>
          <w:rFonts w:cs="Times New Roman"/>
          <w:szCs w:val="24"/>
        </w:rPr>
        <w:t>TBD</w:t>
      </w:r>
      <w:r w:rsidR="000F0C9F" w:rsidRPr="00E610A9">
        <w:rPr>
          <w:rFonts w:cs="Times New Roman"/>
          <w:szCs w:val="24"/>
        </w:rPr>
        <w:t xml:space="preserve"> Client complied with that obligation via a notice dated </w:t>
      </w:r>
      <w:r>
        <w:rPr>
          <w:rFonts w:cs="Times New Roman"/>
          <w:szCs w:val="24"/>
        </w:rPr>
        <w:t>TBD</w:t>
      </w:r>
      <w:r w:rsidR="000F0C9F" w:rsidRPr="00E610A9">
        <w:rPr>
          <w:rFonts w:cs="Times New Roman"/>
          <w:szCs w:val="24"/>
        </w:rPr>
        <w:t xml:space="preserve"> </w:t>
      </w:r>
    </w:p>
    <w:bookmarkEnd w:id="220"/>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r>
        <w:rPr>
          <w:rFonts w:cs="Times New Roman"/>
          <w:szCs w:val="24"/>
        </w:rPr>
        <w:t>TBD</w:t>
      </w:r>
      <w:r w:rsidR="003C4D76" w:rsidRPr="00D87E71">
        <w:t xml:space="preserve"> of the </w:t>
      </w:r>
      <w:r>
        <w:rPr>
          <w:rFonts w:cs="Times New Roman"/>
          <w:szCs w:val="24"/>
        </w:rPr>
        <w:t>TBD</w:t>
      </w:r>
      <w:r w:rsidR="003C4D76" w:rsidRPr="00D87E71">
        <w:t>.</w:t>
      </w:r>
      <w:r w:rsidR="003C4D76">
        <w:t xml:space="preserve"> </w:t>
      </w:r>
      <w:r>
        <w:t>T</w:t>
      </w:r>
      <w:r w:rsidR="003C4D76">
        <w:t xml:space="preserve">he prevailing party </w:t>
      </w:r>
      <w:r>
        <w:t>is</w:t>
      </w:r>
      <w:r w:rsidR="003C4D76">
        <w:t xml:space="preserve"> also entitled to attorneys’ fees and costs under </w:t>
      </w:r>
      <w:r>
        <w:rPr>
          <w:rFonts w:cs="Times New Roman"/>
          <w:szCs w:val="24"/>
        </w:rPr>
        <w:t>Code of Civil Procedure section 1021.5</w:t>
      </w:r>
      <w:r w:rsidR="003C4D76">
        <w:t>.</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08557E" w:rsidP="00ED253D">
      <w:pPr>
        <w:spacing w:after="264"/>
      </w:pPr>
      <w:r>
        <w:t>TBD</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1F03" w14:textId="77777777" w:rsidR="009235D3" w:rsidRDefault="009235D3" w:rsidP="007B1C23">
      <w:pPr>
        <w:spacing w:after="264"/>
      </w:pPr>
      <w:r>
        <w:separator/>
      </w:r>
    </w:p>
    <w:p w14:paraId="5D4C9A1E" w14:textId="77777777" w:rsidR="009235D3" w:rsidRDefault="009235D3">
      <w:pPr>
        <w:spacing w:after="264"/>
      </w:pPr>
    </w:p>
  </w:endnote>
  <w:endnote w:type="continuationSeparator" w:id="0">
    <w:p w14:paraId="3B2E85DF" w14:textId="77777777" w:rsidR="009235D3" w:rsidRDefault="009235D3" w:rsidP="007B1C23">
      <w:pPr>
        <w:spacing w:after="264"/>
      </w:pPr>
      <w:r>
        <w:continuationSeparator/>
      </w:r>
    </w:p>
    <w:p w14:paraId="02D296D4" w14:textId="77777777" w:rsidR="009235D3" w:rsidRDefault="009235D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8557E"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Hill v. Mercury Insurance</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7E123" w14:textId="77777777" w:rsidR="009235D3" w:rsidRDefault="009235D3" w:rsidP="007B1C23">
      <w:pPr>
        <w:spacing w:after="264"/>
      </w:pPr>
      <w:r>
        <w:separator/>
      </w:r>
    </w:p>
    <w:p w14:paraId="6D84AAFE" w14:textId="77777777" w:rsidR="009235D3" w:rsidRDefault="009235D3">
      <w:pPr>
        <w:spacing w:after="264"/>
      </w:pPr>
    </w:p>
  </w:footnote>
  <w:footnote w:type="continuationSeparator" w:id="0">
    <w:p w14:paraId="53811D9E" w14:textId="77777777" w:rsidR="009235D3" w:rsidRDefault="009235D3" w:rsidP="007B1C23">
      <w:pPr>
        <w:spacing w:after="264"/>
      </w:pPr>
      <w:r>
        <w:continuationSeparator/>
      </w:r>
    </w:p>
    <w:p w14:paraId="1B5A23F2" w14:textId="77777777" w:rsidR="009235D3" w:rsidRDefault="009235D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557E"/>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60DF"/>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35D3"/>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65369"/>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360DF"/>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1A68"/>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4"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2865</TotalTime>
  <Pages>190</Pages>
  <Words>56197</Words>
  <Characters>320325</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454</cp:revision>
  <cp:lastPrinted>2019-02-13T22:26:00Z</cp:lastPrinted>
  <dcterms:created xsi:type="dcterms:W3CDTF">2020-06-05T18:10:00Z</dcterms:created>
  <dcterms:modified xsi:type="dcterms:W3CDTF">2024-06-04T17:48:00Z</dcterms:modified>
</cp:coreProperties>
</file>