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901C0A"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901C0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901C0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901C0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901C0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901C0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901C0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901C0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901C0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901C0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901C0A"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901C0A"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901C0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901C0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901C0A"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B4DA69C" w14:textId="77777777" w:rsidR="00A03DC2" w:rsidRPr="00FD1ED8" w:rsidRDefault="00901C0A"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2FE94F0D" w14:textId="08850C8D" w:rsidR="00F2529C" w:rsidRDefault="00901C0A" w:rsidP="00ED130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1D9C15A5"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Rosemary Road may, in its sole discretion, obtain such copies directly from a contractor/sub-contractor hired by Client to work on the Project, and Client’s signature on this Agreement shall serve as Client’s express consent for such contractors/sub-contractors to share all change order(s)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687081">
        <w:rPr>
          <w:rFonts w:ascii="Cormorant Garamond" w:hAnsi="Cormorant Garamond" w:cs="Times New Roman"/>
          <w:sz w:val="20"/>
          <w:szCs w:val="20"/>
        </w:rPr>
        <w:t>Within three calendar days of Client’s entering into any change order with a licensed contractor/sub-contractor hired to work on the Project, Client shall provide Rosemary Road with a copy of the change order. Rosemary Road may, in its sole discretion, obtain such copies directly from a contractor/sub-contractor hired by Client to work on the Project, and Client’s signature on this Agreement shall serve as Client’s express consent for such contractors/sub-contractors to share all change order(s)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w:t>
      </w:r>
      <w:r w:rsidR="007B2531" w:rsidRPr="007B2531">
        <w:rPr>
          <w:rFonts w:ascii="Cormorant Garamond" w:hAnsi="Cormorant Garamond" w:cs="Times New Roman"/>
          <w:sz w:val="20"/>
          <w:szCs w:val="20"/>
        </w:rPr>
        <w:lastRenderedPageBreak/>
        <w:t>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w:t>
      </w:r>
      <w:r w:rsidR="002E5FE3">
        <w:rPr>
          <w:rFonts w:ascii="Cormorant Garamond" w:hAnsi="Cormorant Garamond" w:cs="Times New Roman"/>
          <w:sz w:val="20"/>
          <w:szCs w:val="20"/>
        </w:rPr>
        <w:lastRenderedPageBreak/>
        <w:t xml:space="preserve">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901C0A"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901C0A"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901C0A"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901C0A"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w:t>
      </w:r>
      <w:r>
        <w:rPr>
          <w:rFonts w:ascii="Cormorant Garamond" w:hAnsi="Cormorant Garamond" w:cs="Times New Roman"/>
          <w:sz w:val="20"/>
          <w:szCs w:val="20"/>
        </w:rPr>
        <w:lastRenderedPageBreak/>
        <w:t xml:space="preserve">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901C0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w:t>
      </w:r>
      <w:r>
        <w:rPr>
          <w:rFonts w:ascii="Cormorant Garamond" w:hAnsi="Cormorant Garamond" w:cs="Times New Roman"/>
          <w:sz w:val="20"/>
          <w:szCs w:val="20"/>
        </w:rPr>
        <w:lastRenderedPageBreak/>
        <w:t xml:space="preserve">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901C0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w:t>
      </w:r>
      <w:r w:rsidR="00CB471D">
        <w:rPr>
          <w:rFonts w:ascii="Cormorant Garamond" w:hAnsi="Cormorant Garamond" w:cs="Times New Roman"/>
          <w:sz w:val="20"/>
          <w:szCs w:val="20"/>
        </w:rPr>
        <w:lastRenderedPageBreak/>
        <w:t>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901C0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901C0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901C0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901C0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901C0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901C0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13</Pages>
  <Words>7523</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50</cp:revision>
  <cp:lastPrinted>2023-03-15T16:38:00Z</cp:lastPrinted>
  <dcterms:created xsi:type="dcterms:W3CDTF">2024-02-06T16:11:00Z</dcterms:created>
  <dcterms:modified xsi:type="dcterms:W3CDTF">2024-04-22T16:04:00Z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